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9187" w14:textId="77777777" w:rsidR="009873A1" w:rsidRDefault="009873A1" w:rsidP="009873A1">
      <w:pPr>
        <w:pStyle w:val="Heading1"/>
        <w:spacing w:before="0"/>
        <w:jc w:val="right"/>
        <w:rPr>
          <w:rFonts w:cs="Arial"/>
          <w:b/>
          <w:sz w:val="20"/>
          <w:szCs w:val="20"/>
        </w:rPr>
      </w:pPr>
      <w:bookmarkStart w:id="0" w:name="_Toc447187857"/>
    </w:p>
    <w:bookmarkEnd w:id="0"/>
    <w:p w14:paraId="018E714A" w14:textId="77777777" w:rsidR="0093132C" w:rsidRDefault="0093132C" w:rsidP="0093132C">
      <w:pPr>
        <w:rPr>
          <w:rFonts w:cs="Arial"/>
          <w:b/>
          <w:bCs/>
        </w:rPr>
      </w:pPr>
      <w:r w:rsidRPr="00CF7FF9">
        <w:rPr>
          <w:noProof/>
        </w:rPr>
        <w:drawing>
          <wp:anchor distT="0" distB="0" distL="114300" distR="114300" simplePos="0" relativeHeight="251658240" behindDoc="1" locked="0" layoutInCell="1" allowOverlap="1" wp14:anchorId="586B3DC1" wp14:editId="2F8F299F">
            <wp:simplePos x="0" y="0"/>
            <wp:positionH relativeFrom="column">
              <wp:posOffset>0</wp:posOffset>
            </wp:positionH>
            <wp:positionV relativeFrom="paragraph">
              <wp:posOffset>3175</wp:posOffset>
            </wp:positionV>
            <wp:extent cx="1036320" cy="500020"/>
            <wp:effectExtent l="0" t="0" r="0" b="0"/>
            <wp:wrapTight wrapText="bothSides">
              <wp:wrapPolygon edited="0">
                <wp:start x="0" y="0"/>
                <wp:lineTo x="0" y="20584"/>
                <wp:lineTo x="21044" y="20584"/>
                <wp:lineTo x="210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320" cy="500020"/>
                    </a:xfrm>
                    <a:prstGeom prst="rect">
                      <a:avLst/>
                    </a:prstGeom>
                  </pic:spPr>
                </pic:pic>
              </a:graphicData>
            </a:graphic>
          </wp:anchor>
        </w:drawing>
      </w:r>
      <w:r>
        <w:rPr>
          <w:rFonts w:cs="Arial"/>
          <w:b/>
          <w:bCs/>
        </w:rPr>
        <w:t xml:space="preserve">      </w:t>
      </w:r>
    </w:p>
    <w:p w14:paraId="66F0918A" w14:textId="76BB1C58" w:rsidR="009873A1" w:rsidRPr="0093132C" w:rsidRDefault="0093132C" w:rsidP="0093132C">
      <w:pPr>
        <w:rPr>
          <w:rFonts w:cs="Arial"/>
          <w:b/>
          <w:bCs/>
        </w:rPr>
      </w:pPr>
      <w:r>
        <w:rPr>
          <w:rFonts w:cs="Arial"/>
          <w:b/>
          <w:bCs/>
          <w:color w:val="auto"/>
          <w:sz w:val="28"/>
          <w:szCs w:val="28"/>
        </w:rPr>
        <w:t xml:space="preserve">      </w:t>
      </w:r>
      <w:r w:rsidRPr="0093132C">
        <w:rPr>
          <w:rFonts w:cs="Arial"/>
          <w:b/>
          <w:bCs/>
          <w:color w:val="auto"/>
          <w:sz w:val="28"/>
          <w:szCs w:val="28"/>
        </w:rPr>
        <w:t>Star Accounts Stratford Ltd</w:t>
      </w:r>
    </w:p>
    <w:p w14:paraId="66F0918B" w14:textId="77777777" w:rsidR="009873A1" w:rsidRPr="0056634D" w:rsidRDefault="009873A1" w:rsidP="009873A1">
      <w:pPr>
        <w:jc w:val="center"/>
        <w:rPr>
          <w:rFonts w:cs="Arial"/>
          <w:bCs/>
          <w:color w:val="auto"/>
        </w:rPr>
      </w:pPr>
    </w:p>
    <w:p w14:paraId="25DABE3F" w14:textId="77777777" w:rsidR="0093132C" w:rsidRDefault="0093132C" w:rsidP="009873A1">
      <w:pPr>
        <w:rPr>
          <w:rFonts w:cs="Arial"/>
          <w:b/>
          <w:bCs/>
          <w:color w:val="00AB4E"/>
        </w:rPr>
      </w:pPr>
    </w:p>
    <w:p w14:paraId="66F09192"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Applicable Law</w:t>
      </w:r>
    </w:p>
    <w:p w14:paraId="66F09193" w14:textId="77777777" w:rsidR="009873A1" w:rsidRPr="00955429" w:rsidRDefault="009873A1" w:rsidP="009873A1">
      <w:pPr>
        <w:rPr>
          <w:rFonts w:cs="Arial"/>
          <w:color w:val="auto"/>
        </w:rPr>
      </w:pPr>
      <w:r w:rsidRPr="00955429">
        <w:rPr>
          <w:rFonts w:cs="Arial"/>
          <w:color w:val="auto"/>
        </w:rPr>
        <w:tab/>
      </w:r>
    </w:p>
    <w:p w14:paraId="66F09194" w14:textId="3A11532C" w:rsidR="009873A1" w:rsidRPr="00955429" w:rsidRDefault="009873A1" w:rsidP="009873A1">
      <w:pPr>
        <w:rPr>
          <w:rFonts w:cs="Arial"/>
          <w:color w:val="auto"/>
        </w:rPr>
      </w:pPr>
      <w:r w:rsidRPr="00955429">
        <w:rPr>
          <w:rFonts w:cs="Arial"/>
          <w:color w:val="auto"/>
        </w:rPr>
        <w:t xml:space="preserve">Our engagement letter, the schedule of services and our standard terms and conditions of business are governed by, and should be construed in accordance with </w:t>
      </w:r>
      <w:r w:rsidRPr="0093132C">
        <w:rPr>
          <w:rFonts w:cs="Arial"/>
          <w:color w:val="auto"/>
        </w:rPr>
        <w:t>English law</w:t>
      </w:r>
      <w:r w:rsidRPr="00D84D5E">
        <w:rPr>
          <w:rFonts w:cs="Arial"/>
          <w:color w:val="auto"/>
        </w:rPr>
        <w:t>.</w:t>
      </w:r>
      <w:r w:rsidRPr="00D84D5E">
        <w:rPr>
          <w:rFonts w:cs="Arial"/>
          <w:color w:val="00AB4E"/>
        </w:rPr>
        <w:t xml:space="preserve"> </w:t>
      </w:r>
      <w:r w:rsidRPr="00955429">
        <w:rPr>
          <w:rFonts w:cs="Arial"/>
          <w:color w:val="auto"/>
        </w:rPr>
        <w:t>Each party agrees that the courts of England 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66F09195"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Client identification</w:t>
      </w:r>
    </w:p>
    <w:p w14:paraId="66F09196" w14:textId="77777777" w:rsidR="009873A1" w:rsidRPr="00955429" w:rsidRDefault="009873A1" w:rsidP="009873A1">
      <w:pPr>
        <w:rPr>
          <w:rFonts w:cs="Arial"/>
          <w:color w:val="auto"/>
        </w:rPr>
      </w:pPr>
    </w:p>
    <w:p w14:paraId="66F09197" w14:textId="77777777" w:rsidR="009873A1" w:rsidRPr="00955429" w:rsidRDefault="009873A1" w:rsidP="009873A1">
      <w:pPr>
        <w:rPr>
          <w:rFonts w:cs="Arial"/>
          <w:color w:val="auto"/>
        </w:rPr>
      </w:pPr>
      <w:r w:rsidRPr="00955429">
        <w:rPr>
          <w:rFonts w:cs="Arial"/>
          <w:color w:val="auto"/>
        </w:rPr>
        <w:t xml:space="preserve">As with other professional services firms, we are required to identify our clients for the purposes of the UK anti-money laundering legislation. We may request from you, and retain, such information and documentation as we require for these purposes and/or make searches of appropriate databases. </w:t>
      </w:r>
    </w:p>
    <w:p w14:paraId="66F09198"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Client money</w:t>
      </w:r>
    </w:p>
    <w:p w14:paraId="66F09199" w14:textId="77777777" w:rsidR="009873A1" w:rsidRPr="00955429" w:rsidRDefault="009873A1" w:rsidP="009873A1">
      <w:pPr>
        <w:rPr>
          <w:rFonts w:cs="Arial"/>
          <w:color w:val="auto"/>
        </w:rPr>
      </w:pPr>
    </w:p>
    <w:p w14:paraId="66F0919A" w14:textId="35D46869" w:rsidR="009873A1" w:rsidRPr="00955429" w:rsidRDefault="009873A1" w:rsidP="009873A1">
      <w:pPr>
        <w:rPr>
          <w:rFonts w:cs="Arial"/>
          <w:color w:val="auto"/>
        </w:rPr>
      </w:pPr>
      <w:r w:rsidRPr="00955429">
        <w:rPr>
          <w:rFonts w:cs="Arial"/>
          <w:color w:val="auto"/>
        </w:rPr>
        <w:t xml:space="preserve">If we hold money on your behalf, such money will be held in trust in a client bank account, which is segregated from the firm’s funds. The account will be operated and all funds dealt with in accordance with </w:t>
      </w:r>
      <w:r w:rsidR="0093132C" w:rsidRPr="0093132C">
        <w:rPr>
          <w:rFonts w:cs="Arial"/>
          <w:color w:val="auto"/>
        </w:rPr>
        <w:t>AAT regulations and guidance</w:t>
      </w:r>
      <w:r w:rsidRPr="0093132C">
        <w:rPr>
          <w:rFonts w:cs="Arial"/>
          <w:color w:val="auto"/>
        </w:rPr>
        <w:t>.</w:t>
      </w:r>
    </w:p>
    <w:p w14:paraId="66F0919B"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Commissions and other benefits</w:t>
      </w:r>
    </w:p>
    <w:p w14:paraId="66F0919C" w14:textId="77777777" w:rsidR="009873A1" w:rsidRPr="00955429" w:rsidRDefault="009873A1" w:rsidP="009873A1">
      <w:pPr>
        <w:rPr>
          <w:rFonts w:cs="Arial"/>
          <w:b/>
          <w:bCs/>
          <w:iCs/>
          <w:color w:val="auto"/>
        </w:rPr>
      </w:pPr>
    </w:p>
    <w:p w14:paraId="66F0919D" w14:textId="52831C73" w:rsidR="009873A1" w:rsidRPr="00172C66" w:rsidRDefault="009873A1" w:rsidP="009873A1">
      <w:pPr>
        <w:rPr>
          <w:rFonts w:cs="Arial"/>
          <w:color w:val="00AB4E"/>
        </w:rPr>
      </w:pPr>
      <w:r w:rsidRPr="00955429">
        <w:rPr>
          <w:rFonts w:cs="Arial"/>
          <w:color w:val="auto"/>
        </w:rPr>
        <w:t xml:space="preserve">In some circumstances we may receive commissions and/or other benefits for introductions to other professionals or in respect of transactions which we arrange for you. Where this </w:t>
      </w:r>
      <w:proofErr w:type="gramStart"/>
      <w:r w:rsidRPr="00955429">
        <w:rPr>
          <w:rFonts w:cs="Arial"/>
          <w:color w:val="auto"/>
        </w:rPr>
        <w:t>happens</w:t>
      </w:r>
      <w:proofErr w:type="gramEnd"/>
      <w:r w:rsidRPr="00955429">
        <w:rPr>
          <w:rFonts w:cs="Arial"/>
          <w:color w:val="auto"/>
        </w:rPr>
        <w:t xml:space="preserve"> we will notify you in writing of the amount and terms of payment and receipt of any such commissions or benefits. </w:t>
      </w:r>
      <w:r w:rsidRPr="0093132C">
        <w:rPr>
          <w:rFonts w:cs="Arial"/>
          <w:color w:val="auto"/>
        </w:rPr>
        <w:t>The same will apply where the payment is made to or the transactions are arranged by a person or business connected with ours.</w:t>
      </w:r>
      <w:r w:rsidR="0093132C" w:rsidRPr="0093132C">
        <w:rPr>
          <w:rFonts w:cs="Arial"/>
          <w:color w:val="auto"/>
        </w:rPr>
        <w:t xml:space="preserve"> T</w:t>
      </w:r>
      <w:r w:rsidRPr="0093132C">
        <w:rPr>
          <w:rFonts w:cs="Arial"/>
          <w:color w:val="auto"/>
        </w:rPr>
        <w:t>he fees you would otherwise pay will not be reduced by the amount of the commissions or benefits</w:t>
      </w:r>
      <w:r w:rsidRPr="00172C66">
        <w:rPr>
          <w:rFonts w:cs="Arial"/>
          <w:color w:val="00AB4E"/>
        </w:rPr>
        <w:t>.</w:t>
      </w:r>
    </w:p>
    <w:p w14:paraId="66F0919E"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 xml:space="preserve">Complaints </w:t>
      </w:r>
    </w:p>
    <w:p w14:paraId="66F0919F" w14:textId="77777777" w:rsidR="009873A1" w:rsidRPr="00955429" w:rsidRDefault="009873A1" w:rsidP="009873A1">
      <w:pPr>
        <w:rPr>
          <w:rFonts w:cs="Arial"/>
          <w:color w:val="auto"/>
        </w:rPr>
      </w:pPr>
    </w:p>
    <w:p w14:paraId="66F091A0" w14:textId="323137B3" w:rsidR="009873A1" w:rsidRPr="00172C66" w:rsidRDefault="009873A1" w:rsidP="009873A1">
      <w:pPr>
        <w:rPr>
          <w:rFonts w:cs="Arial"/>
          <w:color w:val="00AB4E"/>
        </w:rPr>
      </w:pPr>
      <w:r w:rsidRPr="00955429">
        <w:rPr>
          <w:rFonts w:cs="Arial"/>
          <w:color w:val="auto"/>
        </w:rPr>
        <w:t xml:space="preserve">We are committed to providing you with a </w:t>
      </w:r>
      <w:proofErr w:type="gramStart"/>
      <w:r w:rsidRPr="00955429">
        <w:rPr>
          <w:rFonts w:cs="Arial"/>
          <w:color w:val="auto"/>
        </w:rPr>
        <w:t>high quality</w:t>
      </w:r>
      <w:proofErr w:type="gramEnd"/>
      <w:r w:rsidRPr="00955429">
        <w:rPr>
          <w:rFonts w:cs="Arial"/>
          <w:color w:val="auto"/>
        </w:rPr>
        <w:t xml:space="preserve"> service that is both efficient and effective. However, should there be any cause for complaint in relation to any aspect of our service please contact </w:t>
      </w:r>
      <w:r w:rsidR="0093132C" w:rsidRPr="0093132C">
        <w:rPr>
          <w:rFonts w:cs="Arial"/>
          <w:color w:val="auto"/>
        </w:rPr>
        <w:t>Pippa Bilsland</w:t>
      </w:r>
      <w:r w:rsidRPr="00955429">
        <w:rPr>
          <w:rFonts w:cs="Arial"/>
          <w:color w:val="auto"/>
        </w:rPr>
        <w:t>.</w:t>
      </w:r>
      <w:r w:rsidR="0093132C">
        <w:rPr>
          <w:rFonts w:cs="Arial"/>
          <w:color w:val="auto"/>
        </w:rPr>
        <w:t xml:space="preserve"> </w:t>
      </w:r>
      <w:r w:rsidRPr="00955429">
        <w:rPr>
          <w:rFonts w:cs="Arial"/>
          <w:color w:val="auto"/>
        </w:rPr>
        <w:t>We agree to look into any complaint carefully and promptly and do everything reasonable to put it right. If you are still not satisfied you can refer your compl</w:t>
      </w:r>
      <w:r>
        <w:rPr>
          <w:rFonts w:cs="Arial"/>
          <w:color w:val="auto"/>
        </w:rPr>
        <w:t xml:space="preserve">aint to our professional body, </w:t>
      </w:r>
      <w:r w:rsidR="0093132C" w:rsidRPr="0093132C">
        <w:rPr>
          <w:rFonts w:cs="Arial"/>
          <w:color w:val="auto"/>
        </w:rPr>
        <w:t>the AAT</w:t>
      </w:r>
      <w:r w:rsidRPr="0093132C">
        <w:rPr>
          <w:rFonts w:cs="Arial"/>
          <w:color w:val="auto"/>
        </w:rPr>
        <w:t>.</w:t>
      </w:r>
    </w:p>
    <w:p w14:paraId="66F091A2" w14:textId="77777777" w:rsidR="009873A1" w:rsidRPr="00902B0A" w:rsidRDefault="009873A1" w:rsidP="009873A1">
      <w:pPr>
        <w:rPr>
          <w:rFonts w:cs="Arial"/>
        </w:rPr>
      </w:pPr>
    </w:p>
    <w:p w14:paraId="66F091A3"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Confidentiality</w:t>
      </w:r>
    </w:p>
    <w:p w14:paraId="66F091A4" w14:textId="77777777" w:rsidR="009873A1" w:rsidRPr="00902B0A" w:rsidRDefault="009873A1" w:rsidP="009873A1">
      <w:pPr>
        <w:rPr>
          <w:rFonts w:cs="Arial"/>
          <w:b/>
          <w:bCs/>
          <w:color w:val="000000"/>
          <w:lang w:val="en-US"/>
        </w:rPr>
      </w:pPr>
    </w:p>
    <w:p w14:paraId="66F091A5" w14:textId="77777777" w:rsidR="009873A1" w:rsidRPr="00902B0A" w:rsidRDefault="009873A1" w:rsidP="009873A1">
      <w:pPr>
        <w:rPr>
          <w:rFonts w:cs="Arial"/>
          <w:lang w:eastAsia="en-GB"/>
        </w:rPr>
      </w:pPr>
      <w:r w:rsidRPr="00902B0A">
        <w:rPr>
          <w:rFonts w:cs="Arial"/>
          <w:lang w:eastAsia="en-GB"/>
        </w:rPr>
        <w:t>Communication between us is confidential and we shall take all reasonable steps to keep confidential your information except where we are required to disclose it by law, by regulatory bodies, by our insurers or as part of an external peer review. Unless we are authorised by you to disclose information on your behalf this undertaking will apply during and after this engagement.</w:t>
      </w:r>
    </w:p>
    <w:p w14:paraId="66F091A6" w14:textId="77777777" w:rsidR="009873A1" w:rsidRPr="00902B0A" w:rsidRDefault="009873A1" w:rsidP="009873A1">
      <w:pPr>
        <w:rPr>
          <w:rFonts w:cs="Arial"/>
          <w:lang w:eastAsia="en-GB"/>
        </w:rPr>
      </w:pPr>
    </w:p>
    <w:p w14:paraId="66F091A7" w14:textId="77777777" w:rsidR="009873A1" w:rsidRPr="00902B0A" w:rsidRDefault="009873A1" w:rsidP="009873A1">
      <w:pPr>
        <w:rPr>
          <w:rFonts w:cs="Arial"/>
          <w:lang w:eastAsia="en-GB"/>
        </w:rPr>
      </w:pPr>
      <w:r w:rsidRPr="00902B0A">
        <w:rPr>
          <w:rFonts w:cs="Arial"/>
          <w:lang w:eastAsia="en-GB"/>
        </w:rPr>
        <w:t>We may, on occasions, subcontract work on your affairs to other tax or accounting professionals.</w:t>
      </w:r>
      <w:r>
        <w:rPr>
          <w:rFonts w:cs="Arial"/>
          <w:lang w:eastAsia="en-GB"/>
        </w:rPr>
        <w:t xml:space="preserve"> </w:t>
      </w:r>
      <w:r w:rsidRPr="00902B0A">
        <w:rPr>
          <w:rFonts w:cs="Arial"/>
          <w:lang w:eastAsia="en-GB"/>
        </w:rPr>
        <w:t xml:space="preserve">The subcontractors will be bound by our client confidentiality terms. </w:t>
      </w:r>
    </w:p>
    <w:p w14:paraId="66F091A8" w14:textId="77777777" w:rsidR="009873A1" w:rsidRPr="00902B0A" w:rsidRDefault="009873A1" w:rsidP="009873A1">
      <w:pPr>
        <w:rPr>
          <w:rFonts w:cs="Arial"/>
          <w:lang w:eastAsia="en-GB"/>
        </w:rPr>
      </w:pPr>
      <w:r w:rsidRPr="00902B0A">
        <w:rPr>
          <w:rFonts w:cs="Arial"/>
          <w:lang w:eastAsia="en-GB"/>
        </w:rPr>
        <w:t> </w:t>
      </w:r>
    </w:p>
    <w:p w14:paraId="66F091A9" w14:textId="77777777" w:rsidR="009873A1" w:rsidRPr="00902B0A" w:rsidRDefault="009873A1" w:rsidP="009873A1">
      <w:pPr>
        <w:rPr>
          <w:rFonts w:cs="Arial"/>
          <w:lang w:eastAsia="en-GB"/>
        </w:rPr>
      </w:pPr>
      <w:r w:rsidRPr="00902B0A">
        <w:rPr>
          <w:rFonts w:cs="Arial"/>
          <w:lang w:eastAsia="en-GB"/>
        </w:rPr>
        <w:t>We reserve the right, for the purpose of promotional activity, training or for similar business purpose, to mention that you are a client. As stated above we will not disclos</w:t>
      </w:r>
      <w:r>
        <w:rPr>
          <w:rFonts w:cs="Arial"/>
          <w:lang w:eastAsia="en-GB"/>
        </w:rPr>
        <w:t>e any confidential information.</w:t>
      </w:r>
    </w:p>
    <w:p w14:paraId="66F091AA"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Conflicts of interest</w:t>
      </w:r>
    </w:p>
    <w:p w14:paraId="66F091AB" w14:textId="77777777" w:rsidR="009873A1" w:rsidRPr="00902B0A" w:rsidRDefault="009873A1" w:rsidP="009873A1">
      <w:pPr>
        <w:rPr>
          <w:rFonts w:cs="Arial"/>
        </w:rPr>
      </w:pPr>
    </w:p>
    <w:p w14:paraId="6E7B10EF" w14:textId="77777777" w:rsidR="00F67B26" w:rsidRDefault="009873A1" w:rsidP="009873A1">
      <w:pPr>
        <w:rPr>
          <w:rFonts w:cs="Arial"/>
        </w:rPr>
      </w:pPr>
      <w:r w:rsidRPr="00902B0A">
        <w:rPr>
          <w:rFonts w:cs="Arial"/>
        </w:rPr>
        <w:t xml:space="preserve">We will inform you if we become aware of any conflict of interest in our relationship with you or in our relationship with you and another client unless we are unable to do so because of our confidentiality obligations. We have safeguards that can be implemented to protect the interests of different clients if a conflict arises. Where </w:t>
      </w:r>
      <w:bookmarkStart w:id="1" w:name="_GoBack"/>
      <w:bookmarkEnd w:id="1"/>
      <w:r w:rsidRPr="00902B0A">
        <w:rPr>
          <w:rFonts w:cs="Arial"/>
        </w:rPr>
        <w:t xml:space="preserve">conflicts are identified which cannot be managed in a way that protects your </w:t>
      </w:r>
    </w:p>
    <w:p w14:paraId="409085B5" w14:textId="77777777" w:rsidR="00F67B26" w:rsidRDefault="00F67B26" w:rsidP="009873A1">
      <w:pPr>
        <w:rPr>
          <w:rFonts w:cs="Arial"/>
        </w:rPr>
      </w:pPr>
    </w:p>
    <w:p w14:paraId="66F091AC" w14:textId="02458874" w:rsidR="009873A1" w:rsidRPr="00902B0A" w:rsidRDefault="009873A1" w:rsidP="009873A1">
      <w:pPr>
        <w:rPr>
          <w:rFonts w:cs="Arial"/>
        </w:rPr>
      </w:pPr>
      <w:r w:rsidRPr="00902B0A">
        <w:rPr>
          <w:rFonts w:cs="Arial"/>
        </w:rPr>
        <w:t xml:space="preserve">interests then we regret that we will be unable to provide further services. If this arises, we will inform you promptly. </w:t>
      </w:r>
    </w:p>
    <w:p w14:paraId="66F091AD" w14:textId="77777777" w:rsidR="009873A1" w:rsidRPr="00902B0A" w:rsidRDefault="009873A1" w:rsidP="009873A1">
      <w:pPr>
        <w:rPr>
          <w:rFonts w:cs="Arial"/>
        </w:rPr>
      </w:pPr>
    </w:p>
    <w:p w14:paraId="66F091AE" w14:textId="77777777" w:rsidR="009873A1" w:rsidRPr="00955429" w:rsidRDefault="009873A1" w:rsidP="009873A1">
      <w:pPr>
        <w:rPr>
          <w:rFonts w:cs="Arial"/>
          <w:color w:val="auto"/>
        </w:rPr>
      </w:pPr>
      <w:r w:rsidRPr="00902B0A">
        <w:rPr>
          <w:rFonts w:cs="Arial"/>
        </w:rPr>
        <w:t>If there is a conflict of interest that is capable of being addressed successfully by the adoption of suitable safeguards to protect your interests then we will adopt those safeguards.</w:t>
      </w:r>
      <w:r>
        <w:rPr>
          <w:rFonts w:cs="Arial"/>
        </w:rPr>
        <w:t xml:space="preserve"> </w:t>
      </w:r>
      <w:r w:rsidRPr="00902B0A">
        <w:rPr>
          <w:rFonts w:cs="Arial"/>
        </w:rPr>
        <w:t>Where possible this will be done on the basis of your informed consent.</w:t>
      </w:r>
      <w:r>
        <w:rPr>
          <w:rFonts w:cs="Arial"/>
        </w:rPr>
        <w:t xml:space="preserve"> </w:t>
      </w:r>
      <w:r w:rsidRPr="00902B0A">
        <w:rPr>
          <w:rFonts w:cs="Arial"/>
        </w:rPr>
        <w:t xml:space="preserve">We reserve the right to act for other clients whose interests are not the </w:t>
      </w:r>
      <w:r w:rsidRPr="00955429">
        <w:rPr>
          <w:rFonts w:cs="Arial"/>
          <w:color w:val="auto"/>
        </w:rPr>
        <w:t xml:space="preserve">same as or are </w:t>
      </w:r>
      <w:proofErr w:type="gramStart"/>
      <w:r w:rsidRPr="00955429">
        <w:rPr>
          <w:rFonts w:cs="Arial"/>
          <w:color w:val="auto"/>
        </w:rPr>
        <w:t>adverse</w:t>
      </w:r>
      <w:proofErr w:type="gramEnd"/>
      <w:r w:rsidRPr="00955429">
        <w:rPr>
          <w:rFonts w:cs="Arial"/>
          <w:color w:val="auto"/>
        </w:rPr>
        <w:t xml:space="preserve"> to yours subject of course to the obligations of confidentiality referred to above.</w:t>
      </w:r>
    </w:p>
    <w:p w14:paraId="66F091AF"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Data Protection</w:t>
      </w:r>
    </w:p>
    <w:p w14:paraId="66F091B0" w14:textId="77777777" w:rsidR="009873A1" w:rsidRPr="00955429" w:rsidRDefault="009873A1" w:rsidP="009873A1">
      <w:pPr>
        <w:rPr>
          <w:rFonts w:cs="Arial"/>
          <w:color w:val="auto"/>
        </w:rPr>
      </w:pPr>
    </w:p>
    <w:p w14:paraId="66F091B1" w14:textId="4C542642" w:rsidR="009873A1" w:rsidRPr="00955429" w:rsidRDefault="009873A1" w:rsidP="009873A1">
      <w:pPr>
        <w:rPr>
          <w:rFonts w:cs="Arial"/>
          <w:color w:val="auto"/>
        </w:rPr>
      </w:pPr>
      <w:r w:rsidRPr="00955429">
        <w:rPr>
          <w:rFonts w:cs="Arial"/>
          <w:color w:val="auto"/>
        </w:rPr>
        <w:t xml:space="preserve">We confirm that we will comply with the provisions of the </w:t>
      </w:r>
      <w:r w:rsidR="00581D17" w:rsidRPr="00581D17">
        <w:rPr>
          <w:rStyle w:val="Strong"/>
          <w:rFonts w:cs="Arial"/>
          <w:b w:val="0"/>
          <w:color w:val="222222"/>
        </w:rPr>
        <w:t>General Data Protection Regulation (GDPR)</w:t>
      </w:r>
      <w:r w:rsidR="00581D17">
        <w:rPr>
          <w:rFonts w:cs="Arial"/>
          <w:color w:val="auto"/>
        </w:rPr>
        <w:t xml:space="preserve"> 2018</w:t>
      </w:r>
      <w:r w:rsidRPr="00955429">
        <w:rPr>
          <w:rFonts w:cs="Arial"/>
          <w:color w:val="auto"/>
        </w:rPr>
        <w:t xml:space="preserve"> when processing personal data about you</w:t>
      </w:r>
      <w:r w:rsidR="00581D17">
        <w:rPr>
          <w:rFonts w:cs="Arial"/>
          <w:color w:val="auto"/>
        </w:rPr>
        <w:t xml:space="preserve">, </w:t>
      </w:r>
      <w:r w:rsidRPr="00581D17">
        <w:rPr>
          <w:rFonts w:cs="Arial"/>
          <w:color w:val="auto"/>
        </w:rPr>
        <w:t>your directors and employees and your/their families</w:t>
      </w:r>
      <w:r w:rsidRPr="00172C66">
        <w:rPr>
          <w:rFonts w:cs="Arial"/>
          <w:color w:val="auto"/>
        </w:rPr>
        <w:t>.</w:t>
      </w:r>
      <w:r w:rsidRPr="00172C66">
        <w:rPr>
          <w:rFonts w:cs="Arial"/>
          <w:color w:val="00AB4E"/>
        </w:rPr>
        <w:t xml:space="preserve"> </w:t>
      </w:r>
      <w:r w:rsidRPr="00955429">
        <w:rPr>
          <w:rFonts w:cs="Arial"/>
          <w:color w:val="auto"/>
        </w:rPr>
        <w:t>In order to carry out the services of this engagement and for related purposes such as updating and enhancing our client records, analysis for management purposes and statutory returns, legal and regulatory compliance and crime prevention we may obtain, process, use and disclose personal data about you.</w:t>
      </w:r>
    </w:p>
    <w:p w14:paraId="66F091B2" w14:textId="77777777" w:rsidR="009873A1" w:rsidRPr="00955429" w:rsidRDefault="009873A1" w:rsidP="009873A1">
      <w:pPr>
        <w:pStyle w:val="NumberedText1"/>
        <w:numPr>
          <w:ilvl w:val="0"/>
          <w:numId w:val="19"/>
        </w:numPr>
        <w:rPr>
          <w:rFonts w:cs="Arial"/>
          <w:spacing w:val="-2"/>
          <w:sz w:val="20"/>
          <w:szCs w:val="20"/>
        </w:rPr>
      </w:pPr>
      <w:r w:rsidRPr="00955429">
        <w:rPr>
          <w:rFonts w:cs="Arial"/>
          <w:b w:val="0"/>
          <w:spacing w:val="-2"/>
          <w:sz w:val="20"/>
          <w:szCs w:val="20"/>
        </w:rPr>
        <w:t xml:space="preserve"> </w:t>
      </w:r>
      <w:r w:rsidRPr="00955429">
        <w:rPr>
          <w:rFonts w:cs="Arial"/>
          <w:spacing w:val="-2"/>
          <w:sz w:val="20"/>
          <w:szCs w:val="20"/>
        </w:rPr>
        <w:t xml:space="preserve">Disengagement </w:t>
      </w:r>
    </w:p>
    <w:p w14:paraId="66F091B3" w14:textId="77777777" w:rsidR="009873A1" w:rsidRPr="00955429" w:rsidRDefault="009873A1" w:rsidP="009873A1">
      <w:pPr>
        <w:rPr>
          <w:rFonts w:cs="Arial"/>
          <w:b/>
          <w:bCs/>
          <w:color w:val="auto"/>
        </w:rPr>
      </w:pPr>
    </w:p>
    <w:p w14:paraId="66F091B4" w14:textId="77777777" w:rsidR="009873A1" w:rsidRPr="00955429" w:rsidRDefault="009873A1" w:rsidP="009873A1">
      <w:pPr>
        <w:rPr>
          <w:rFonts w:cs="Arial"/>
          <w:bCs/>
          <w:color w:val="auto"/>
        </w:rPr>
      </w:pPr>
      <w:r w:rsidRPr="00955429">
        <w:rPr>
          <w:rFonts w:cs="Arial"/>
          <w:bCs/>
          <w:color w:val="auto"/>
        </w:rPr>
        <w:t>Should we resign or be requested to resign we will normally issue a disengagement letter to ensure that our respective responsibilities are clear.</w:t>
      </w:r>
    </w:p>
    <w:p w14:paraId="66F091B5" w14:textId="77777777" w:rsidR="009873A1" w:rsidRPr="00955429" w:rsidRDefault="009873A1" w:rsidP="009873A1">
      <w:pPr>
        <w:rPr>
          <w:rFonts w:cs="Arial"/>
          <w:bCs/>
          <w:color w:val="auto"/>
        </w:rPr>
      </w:pPr>
    </w:p>
    <w:p w14:paraId="66F091B6" w14:textId="624D28FA" w:rsidR="009873A1" w:rsidRPr="00955429" w:rsidRDefault="009873A1" w:rsidP="009873A1">
      <w:pPr>
        <w:rPr>
          <w:rFonts w:cs="Arial"/>
          <w:bCs/>
          <w:color w:val="auto"/>
        </w:rPr>
      </w:pPr>
      <w:r w:rsidRPr="00955429">
        <w:rPr>
          <w:rFonts w:cs="Arial"/>
          <w:bCs/>
          <w:color w:val="auto"/>
        </w:rPr>
        <w:t xml:space="preserve">Should we have no contact with you for a period </w:t>
      </w:r>
      <w:r w:rsidRPr="00364530">
        <w:rPr>
          <w:rFonts w:cs="Arial"/>
          <w:bCs/>
          <w:color w:val="auto"/>
        </w:rPr>
        <w:t>of</w:t>
      </w:r>
      <w:r w:rsidR="00364530" w:rsidRPr="00364530">
        <w:rPr>
          <w:rFonts w:cs="Arial"/>
          <w:bCs/>
          <w:color w:val="auto"/>
        </w:rPr>
        <w:t xml:space="preserve"> one year </w:t>
      </w:r>
      <w:r w:rsidRPr="00955429">
        <w:rPr>
          <w:rFonts w:cs="Arial"/>
          <w:bCs/>
          <w:color w:val="auto"/>
        </w:rPr>
        <w:t xml:space="preserve">or more we may issue to your last known address a disengagement letter and thereafter cease to act. </w:t>
      </w:r>
    </w:p>
    <w:p w14:paraId="66F091B7" w14:textId="77777777" w:rsidR="009873A1" w:rsidRPr="00955429" w:rsidRDefault="009873A1" w:rsidP="009873A1">
      <w:pPr>
        <w:pStyle w:val="NumberedText1"/>
        <w:numPr>
          <w:ilvl w:val="0"/>
          <w:numId w:val="19"/>
        </w:numPr>
        <w:rPr>
          <w:rFonts w:cs="Arial"/>
          <w:spacing w:val="-2"/>
          <w:sz w:val="20"/>
          <w:szCs w:val="20"/>
        </w:rPr>
      </w:pPr>
      <w:r w:rsidRPr="00955429">
        <w:rPr>
          <w:rFonts w:cs="Arial"/>
          <w:b w:val="0"/>
          <w:spacing w:val="-2"/>
          <w:sz w:val="20"/>
          <w:szCs w:val="20"/>
        </w:rPr>
        <w:t xml:space="preserve"> </w:t>
      </w:r>
      <w:r w:rsidRPr="00955429">
        <w:rPr>
          <w:rFonts w:cs="Arial"/>
          <w:spacing w:val="-2"/>
          <w:sz w:val="20"/>
          <w:szCs w:val="20"/>
        </w:rPr>
        <w:t>Electronic and other communication</w:t>
      </w:r>
    </w:p>
    <w:p w14:paraId="66F091B8" w14:textId="77777777" w:rsidR="009873A1" w:rsidRPr="00902B0A" w:rsidRDefault="009873A1" w:rsidP="009873A1">
      <w:pPr>
        <w:rPr>
          <w:rFonts w:cs="Arial"/>
        </w:rPr>
      </w:pPr>
      <w:r w:rsidRPr="00902B0A">
        <w:rPr>
          <w:rFonts w:cs="Arial"/>
        </w:rPr>
        <w:t xml:space="preserve"> </w:t>
      </w:r>
    </w:p>
    <w:p w14:paraId="66F091B9" w14:textId="77777777" w:rsidR="009873A1" w:rsidRPr="00902B0A" w:rsidRDefault="009873A1" w:rsidP="009873A1">
      <w:pPr>
        <w:rPr>
          <w:rFonts w:cs="Arial"/>
        </w:rPr>
      </w:pPr>
      <w:r w:rsidRPr="00902B0A">
        <w:rPr>
          <w:rFonts w:cs="Arial"/>
        </w:rPr>
        <w:t>Unless you instruct us otherwise we may communicate with you and with third parties via email or by other electronic means.</w:t>
      </w:r>
      <w:r>
        <w:rPr>
          <w:rFonts w:cs="Arial"/>
        </w:rPr>
        <w:t xml:space="preserve"> </w:t>
      </w:r>
      <w:r w:rsidRPr="00902B0A">
        <w:rPr>
          <w:rFonts w:cs="Arial"/>
        </w:rPr>
        <w:t>The recipient is responsible for virus checking emails and any attachments.</w:t>
      </w:r>
    </w:p>
    <w:p w14:paraId="66F091BA" w14:textId="77777777" w:rsidR="009873A1" w:rsidRPr="00902B0A" w:rsidRDefault="009873A1" w:rsidP="009873A1">
      <w:pPr>
        <w:rPr>
          <w:rFonts w:cs="Arial"/>
        </w:rPr>
      </w:pPr>
    </w:p>
    <w:p w14:paraId="66F091BB" w14:textId="77777777" w:rsidR="009873A1" w:rsidRPr="00902B0A" w:rsidRDefault="009873A1" w:rsidP="009873A1">
      <w:pPr>
        <w:rPr>
          <w:rFonts w:cs="Arial"/>
          <w:i/>
        </w:rPr>
      </w:pPr>
      <w:r w:rsidRPr="00902B0A">
        <w:rPr>
          <w:rFonts w:cs="Arial"/>
        </w:rPr>
        <w:t>With electronic communication there is a risk of non-receipt, delayed receipt, inadvertent misdirection or interception by third parties.</w:t>
      </w:r>
      <w:r>
        <w:rPr>
          <w:rFonts w:cs="Arial"/>
        </w:rPr>
        <w:t xml:space="preserve"> </w:t>
      </w:r>
      <w:r w:rsidRPr="00902B0A">
        <w:rPr>
          <w:rFonts w:cs="Arial"/>
        </w:rPr>
        <w:t>We use virus-scanning software to reduce the risk of viruses and similar damaging items being transmitted through emails or electronic storage devices.</w:t>
      </w:r>
      <w:r>
        <w:rPr>
          <w:rFonts w:cs="Arial"/>
        </w:rPr>
        <w:t xml:space="preserve"> </w:t>
      </w:r>
      <w:r w:rsidRPr="00902B0A">
        <w:rPr>
          <w:rFonts w:cs="Arial"/>
        </w:rPr>
        <w:t>However electronic communication is not totally secure and we cannot be held responsible for damage or loss caused by viruses nor for communications which are corrupted or altered after despatch. Nor can we accept any liability for problems or accidental errors relating to this means of communication especially in relation to commercially sensitive material.</w:t>
      </w:r>
      <w:r>
        <w:rPr>
          <w:rFonts w:cs="Arial"/>
        </w:rPr>
        <w:t xml:space="preserve"> </w:t>
      </w:r>
      <w:r w:rsidRPr="00902B0A">
        <w:rPr>
          <w:rFonts w:cs="Arial"/>
        </w:rPr>
        <w:t>These are risks you must accept in return for greater efficiency and lower costs.</w:t>
      </w:r>
      <w:r>
        <w:rPr>
          <w:rFonts w:cs="Arial"/>
        </w:rPr>
        <w:t xml:space="preserve"> </w:t>
      </w:r>
      <w:r w:rsidRPr="00902B0A">
        <w:rPr>
          <w:rFonts w:cs="Arial"/>
        </w:rPr>
        <w:t>If you do not wish to accept these risks please let us know and we will communicate by hard copy, other than where electronic submission is mandatory.</w:t>
      </w:r>
      <w:r>
        <w:rPr>
          <w:rFonts w:cs="Arial"/>
        </w:rPr>
        <w:t xml:space="preserve"> </w:t>
      </w:r>
    </w:p>
    <w:p w14:paraId="66F091BC" w14:textId="77777777" w:rsidR="009873A1" w:rsidRPr="00902B0A" w:rsidRDefault="009873A1" w:rsidP="009873A1">
      <w:pPr>
        <w:rPr>
          <w:rFonts w:cs="Arial"/>
        </w:rPr>
      </w:pPr>
    </w:p>
    <w:p w14:paraId="66F091BD" w14:textId="77777777" w:rsidR="009873A1" w:rsidRPr="00902B0A" w:rsidRDefault="009873A1" w:rsidP="009873A1">
      <w:pPr>
        <w:rPr>
          <w:rFonts w:cs="Arial"/>
        </w:rPr>
      </w:pPr>
      <w:r w:rsidRPr="00902B0A">
        <w:rPr>
          <w:rFonts w:cs="Arial"/>
        </w:rPr>
        <w:t>Any communication by us with you sent through the post or DX system is deemed to arrive at your postal address two working days after the day that the document was sent.</w:t>
      </w:r>
    </w:p>
    <w:p w14:paraId="66F091BE" w14:textId="77777777" w:rsidR="009873A1" w:rsidRPr="00902B0A" w:rsidRDefault="009873A1" w:rsidP="009873A1">
      <w:pPr>
        <w:rPr>
          <w:rFonts w:cs="Arial"/>
          <w:b/>
          <w:bCs/>
        </w:rPr>
      </w:pPr>
    </w:p>
    <w:p w14:paraId="66F091C0"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Fees and payment terms</w:t>
      </w:r>
    </w:p>
    <w:p w14:paraId="66F091C1" w14:textId="77777777" w:rsidR="009873A1" w:rsidRPr="00902B0A" w:rsidRDefault="009873A1" w:rsidP="009873A1">
      <w:pPr>
        <w:rPr>
          <w:rFonts w:cs="Arial"/>
        </w:rPr>
      </w:pPr>
    </w:p>
    <w:p w14:paraId="66F091C2" w14:textId="77777777" w:rsidR="009873A1" w:rsidRPr="00902B0A" w:rsidRDefault="009873A1" w:rsidP="009873A1">
      <w:pPr>
        <w:rPr>
          <w:rFonts w:cs="Arial"/>
        </w:rPr>
      </w:pPr>
      <w:r w:rsidRPr="00902B0A">
        <w:rPr>
          <w:rFonts w:cs="Arial"/>
        </w:rPr>
        <w:t>Our fees may depend not only upon the time spent on your affairs but also on</w:t>
      </w:r>
      <w:r>
        <w:rPr>
          <w:rFonts w:cs="Arial"/>
        </w:rPr>
        <w:t xml:space="preserve"> </w:t>
      </w:r>
      <w:r w:rsidRPr="00902B0A">
        <w:rPr>
          <w:rFonts w:cs="Arial"/>
        </w:rPr>
        <w:t>the level of skill and responsibility and the importance and value of the advice that we provide, as well as the level of risk.</w:t>
      </w:r>
      <w:r>
        <w:rPr>
          <w:rFonts w:cs="Arial"/>
        </w:rPr>
        <w:t xml:space="preserve"> </w:t>
      </w:r>
    </w:p>
    <w:p w14:paraId="66F091C3" w14:textId="77777777" w:rsidR="009873A1" w:rsidRPr="00902B0A" w:rsidRDefault="009873A1" w:rsidP="009873A1">
      <w:pPr>
        <w:rPr>
          <w:rFonts w:cs="Arial"/>
        </w:rPr>
      </w:pPr>
    </w:p>
    <w:p w14:paraId="66F091C4" w14:textId="77777777" w:rsidR="009873A1" w:rsidRPr="00902B0A" w:rsidRDefault="009873A1" w:rsidP="009873A1">
      <w:pPr>
        <w:rPr>
          <w:rFonts w:cs="Arial"/>
        </w:rPr>
      </w:pPr>
      <w:r w:rsidRPr="00902B0A">
        <w:rPr>
          <w:rFonts w:cs="Arial"/>
        </w:rPr>
        <w:t>If we provide you with an estimate of our fees for any specific work, then the estimate will not be contractually binding unless we explicitly state that that will be the case.</w:t>
      </w:r>
    </w:p>
    <w:p w14:paraId="66F091C5" w14:textId="77777777" w:rsidR="009873A1" w:rsidRPr="00902B0A" w:rsidRDefault="009873A1" w:rsidP="009873A1">
      <w:pPr>
        <w:rPr>
          <w:rFonts w:cs="Arial"/>
        </w:rPr>
      </w:pPr>
    </w:p>
    <w:p w14:paraId="66F091C6" w14:textId="77777777" w:rsidR="009873A1" w:rsidRPr="00955429" w:rsidRDefault="009873A1" w:rsidP="009873A1">
      <w:pPr>
        <w:rPr>
          <w:rFonts w:cs="Arial"/>
          <w:color w:val="auto"/>
        </w:rPr>
      </w:pPr>
      <w:r w:rsidRPr="00902B0A">
        <w:rPr>
          <w:rFonts w:cs="Arial"/>
        </w:rPr>
        <w:t>Where requested we may indicate a fixed fee for the provision of specific services or an indicative range of fees for a particular assignment.</w:t>
      </w:r>
      <w:r>
        <w:rPr>
          <w:rFonts w:cs="Arial"/>
        </w:rPr>
        <w:t xml:space="preserve"> </w:t>
      </w:r>
      <w:r w:rsidRPr="00902B0A">
        <w:rPr>
          <w:rFonts w:cs="Arial"/>
        </w:rPr>
        <w:t xml:space="preserve">It is not our practice to identify fixed fees for more than a </w:t>
      </w:r>
      <w:r w:rsidRPr="00955429">
        <w:rPr>
          <w:rFonts w:cs="Arial"/>
          <w:color w:val="auto"/>
        </w:rPr>
        <w:t xml:space="preserve">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66F091C7" w14:textId="77777777" w:rsidR="009873A1" w:rsidRPr="00955429" w:rsidRDefault="009873A1" w:rsidP="009873A1">
      <w:pPr>
        <w:rPr>
          <w:rFonts w:cs="Arial"/>
          <w:color w:val="auto"/>
        </w:rPr>
      </w:pPr>
    </w:p>
    <w:p w14:paraId="66F091C8" w14:textId="77777777" w:rsidR="009873A1" w:rsidRPr="00955429" w:rsidRDefault="009873A1" w:rsidP="009873A1">
      <w:pPr>
        <w:rPr>
          <w:rFonts w:cs="Arial"/>
          <w:color w:val="auto"/>
        </w:rPr>
      </w:pPr>
      <w:r w:rsidRPr="00955429">
        <w:rPr>
          <w:rFonts w:cs="Arial"/>
          <w:color w:val="auto"/>
        </w:rPr>
        <w:t xml:space="preserve">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 </w:t>
      </w:r>
    </w:p>
    <w:p w14:paraId="66F091C9" w14:textId="77777777" w:rsidR="009873A1" w:rsidRPr="00955429" w:rsidRDefault="009873A1" w:rsidP="009873A1">
      <w:pPr>
        <w:rPr>
          <w:rFonts w:cs="Arial"/>
          <w:color w:val="auto"/>
        </w:rPr>
      </w:pPr>
    </w:p>
    <w:p w14:paraId="66F091CA" w14:textId="3F6FD41B" w:rsidR="009873A1" w:rsidRPr="00955429" w:rsidRDefault="009873A1" w:rsidP="009873A1">
      <w:pPr>
        <w:rPr>
          <w:rFonts w:cs="Arial"/>
          <w:color w:val="auto"/>
        </w:rPr>
      </w:pPr>
      <w:r w:rsidRPr="00955429">
        <w:rPr>
          <w:rFonts w:cs="Arial"/>
          <w:color w:val="auto"/>
        </w:rPr>
        <w:t xml:space="preserve">We will </w:t>
      </w:r>
      <w:r w:rsidRPr="00A15748">
        <w:rPr>
          <w:rFonts w:cs="Arial"/>
          <w:color w:val="auto"/>
        </w:rPr>
        <w:t>bill monthly</w:t>
      </w:r>
      <w:r w:rsidR="00A15748" w:rsidRPr="00A15748">
        <w:rPr>
          <w:rFonts w:cs="Arial"/>
          <w:color w:val="auto"/>
        </w:rPr>
        <w:t xml:space="preserve"> </w:t>
      </w:r>
      <w:r w:rsidRPr="00955429">
        <w:rPr>
          <w:rFonts w:cs="Arial"/>
          <w:color w:val="auto"/>
        </w:rPr>
        <w:t xml:space="preserve">and our invoices are due for payment </w:t>
      </w:r>
      <w:r w:rsidRPr="00A15748">
        <w:rPr>
          <w:rFonts w:cs="Arial"/>
          <w:color w:val="auto"/>
        </w:rPr>
        <w:t xml:space="preserve">within </w:t>
      </w:r>
      <w:r w:rsidR="00A15748" w:rsidRPr="00A15748">
        <w:rPr>
          <w:rFonts w:cs="Arial"/>
          <w:color w:val="auto"/>
        </w:rPr>
        <w:t>7 days of issue</w:t>
      </w:r>
      <w:r w:rsidRPr="00A15748">
        <w:rPr>
          <w:rFonts w:cs="Arial"/>
          <w:color w:val="auto"/>
        </w:rPr>
        <w:t xml:space="preserve">. </w:t>
      </w:r>
      <w:r w:rsidRPr="00955429">
        <w:rPr>
          <w:rFonts w:cs="Arial"/>
          <w:color w:val="auto"/>
        </w:rPr>
        <w:t xml:space="preserve">Our fees are exclusive of VAT which will be added where it is chargeable. Any disbursements we incur on your behalf and expenses incurred in the course of carrying out our work for you will be added to our invoices where appropriate. </w:t>
      </w:r>
    </w:p>
    <w:p w14:paraId="66F091CB" w14:textId="77777777" w:rsidR="009873A1" w:rsidRPr="00955429" w:rsidRDefault="009873A1" w:rsidP="009873A1">
      <w:pPr>
        <w:rPr>
          <w:rFonts w:cs="Arial"/>
          <w:color w:val="auto"/>
        </w:rPr>
      </w:pPr>
    </w:p>
    <w:p w14:paraId="66F091CC" w14:textId="77777777" w:rsidR="009873A1" w:rsidRPr="00955429" w:rsidRDefault="009873A1" w:rsidP="009873A1">
      <w:pPr>
        <w:rPr>
          <w:rFonts w:cs="Arial"/>
          <w:color w:val="auto"/>
        </w:rPr>
      </w:pPr>
      <w:r w:rsidRPr="00955429">
        <w:rPr>
          <w:rFonts w:cs="Arial"/>
          <w:color w:val="auto"/>
        </w:rPr>
        <w:t>Unless otherwise agreed to the contrary our fees do not include the costs of any third party, counsel or other professional fees.</w:t>
      </w:r>
    </w:p>
    <w:p w14:paraId="66F091CD" w14:textId="77777777" w:rsidR="009873A1" w:rsidRPr="00955429" w:rsidRDefault="009873A1" w:rsidP="009873A1">
      <w:pPr>
        <w:rPr>
          <w:rFonts w:cs="Arial"/>
          <w:color w:val="auto"/>
        </w:rPr>
      </w:pPr>
    </w:p>
    <w:p w14:paraId="66F091D2" w14:textId="663AED36" w:rsidR="009873A1" w:rsidRPr="00A15748" w:rsidRDefault="009873A1" w:rsidP="009873A1">
      <w:pPr>
        <w:rPr>
          <w:rFonts w:cs="Arial"/>
          <w:color w:val="auto"/>
        </w:rPr>
      </w:pPr>
      <w:r w:rsidRPr="00A15748">
        <w:rPr>
          <w:rFonts w:cs="Arial"/>
          <w:color w:val="auto"/>
        </w:rPr>
        <w:t>You authorise us to settle our agreed fees from any money held on your behalf in the client account.</w:t>
      </w:r>
    </w:p>
    <w:p w14:paraId="66F091D3" w14:textId="77777777" w:rsidR="009873A1" w:rsidRPr="00955429" w:rsidRDefault="009873A1" w:rsidP="009873A1">
      <w:pPr>
        <w:rPr>
          <w:rFonts w:cs="Arial"/>
          <w:color w:val="auto"/>
        </w:rPr>
      </w:pPr>
    </w:p>
    <w:p w14:paraId="66F091D4" w14:textId="275529D0" w:rsidR="009873A1" w:rsidRPr="00955429" w:rsidRDefault="009873A1" w:rsidP="009873A1">
      <w:pPr>
        <w:rPr>
          <w:rFonts w:cs="Arial"/>
          <w:color w:val="auto"/>
        </w:rPr>
      </w:pPr>
      <w:r w:rsidRPr="00955429">
        <w:rPr>
          <w:rFonts w:cs="Arial"/>
          <w:color w:val="auto"/>
        </w:rPr>
        <w:t xml:space="preserve">We reserve the right to charge interest on late paid invoices at the rate </w:t>
      </w:r>
      <w:r w:rsidRPr="00A15748">
        <w:rPr>
          <w:rFonts w:cs="Arial"/>
          <w:color w:val="auto"/>
        </w:rPr>
        <w:t xml:space="preserve">of 5% </w:t>
      </w:r>
      <w:r w:rsidRPr="00955429">
        <w:rPr>
          <w:rFonts w:cs="Arial"/>
          <w:color w:val="auto"/>
        </w:rPr>
        <w:t>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66F091D5" w14:textId="77777777" w:rsidR="009873A1" w:rsidRPr="00955429" w:rsidRDefault="009873A1" w:rsidP="009873A1">
      <w:pPr>
        <w:rPr>
          <w:rFonts w:cs="Arial"/>
          <w:color w:val="auto"/>
        </w:rPr>
      </w:pPr>
    </w:p>
    <w:p w14:paraId="66F091D6" w14:textId="77777777" w:rsidR="009873A1" w:rsidRPr="00955429" w:rsidRDefault="009873A1" w:rsidP="009873A1">
      <w:pPr>
        <w:rPr>
          <w:rFonts w:cs="Arial"/>
          <w:color w:val="auto"/>
        </w:rPr>
      </w:pPr>
      <w:r w:rsidRPr="00955429">
        <w:rPr>
          <w:rFonts w:cs="Arial"/>
          <w:color w:val="auto"/>
        </w:rPr>
        <w:t>If you do not accept that an invoiced fee is fair and reasonable you must notify us within 21 days of receipt, failing which you will be deemed to have accepted that payment is due.</w:t>
      </w:r>
    </w:p>
    <w:p w14:paraId="66F091D7"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Implementation</w:t>
      </w:r>
    </w:p>
    <w:p w14:paraId="66F091D8" w14:textId="77777777" w:rsidR="009873A1" w:rsidRPr="00902B0A" w:rsidRDefault="009873A1" w:rsidP="009873A1">
      <w:pPr>
        <w:rPr>
          <w:rFonts w:cs="Arial"/>
          <w:b/>
          <w:bCs/>
        </w:rPr>
      </w:pPr>
    </w:p>
    <w:p w14:paraId="66F091D9" w14:textId="77777777" w:rsidR="009873A1" w:rsidRPr="00A20A3E" w:rsidRDefault="009873A1" w:rsidP="009873A1">
      <w:pPr>
        <w:rPr>
          <w:rFonts w:cs="Arial"/>
          <w:bCs/>
        </w:rPr>
      </w:pPr>
      <w:r w:rsidRPr="00902B0A">
        <w:rPr>
          <w:rFonts w:cs="Arial"/>
          <w:bCs/>
        </w:rPr>
        <w:t>We will only assist with implementation of our advice if specifically in</w:t>
      </w:r>
      <w:r>
        <w:rPr>
          <w:rFonts w:cs="Arial"/>
          <w:bCs/>
        </w:rPr>
        <w:t>structed and agreed in writing.</w:t>
      </w:r>
    </w:p>
    <w:p w14:paraId="66F091DA" w14:textId="77777777" w:rsidR="009873A1" w:rsidRPr="00955429" w:rsidRDefault="009873A1" w:rsidP="009873A1">
      <w:pPr>
        <w:pStyle w:val="NumberedText1"/>
        <w:numPr>
          <w:ilvl w:val="0"/>
          <w:numId w:val="19"/>
        </w:numPr>
        <w:rPr>
          <w:rFonts w:cs="Arial"/>
          <w:spacing w:val="-2"/>
          <w:sz w:val="20"/>
          <w:szCs w:val="20"/>
        </w:rPr>
      </w:pPr>
      <w:r w:rsidRPr="00955429">
        <w:rPr>
          <w:rFonts w:cs="Arial"/>
          <w:spacing w:val="-2"/>
          <w:sz w:val="20"/>
          <w:szCs w:val="20"/>
        </w:rPr>
        <w:t>Intellectual property rights</w:t>
      </w:r>
    </w:p>
    <w:p w14:paraId="66F091DB" w14:textId="77777777" w:rsidR="009873A1" w:rsidRPr="00902B0A" w:rsidRDefault="009873A1" w:rsidP="009873A1">
      <w:pPr>
        <w:rPr>
          <w:rFonts w:cs="Arial"/>
        </w:rPr>
      </w:pPr>
    </w:p>
    <w:p w14:paraId="66F091DC" w14:textId="77777777" w:rsidR="009873A1" w:rsidRDefault="009873A1" w:rsidP="009873A1">
      <w:pPr>
        <w:rPr>
          <w:rFonts w:cs="Arial"/>
        </w:rPr>
      </w:pPr>
      <w:r w:rsidRPr="00902B0A">
        <w:rPr>
          <w:rFonts w:cs="Arial"/>
        </w:rPr>
        <w:t>We will retain all copyright in any document prepared by us during the course of carrying out the engagement save where the law s</w:t>
      </w:r>
      <w:r>
        <w:rPr>
          <w:rFonts w:cs="Arial"/>
        </w:rPr>
        <w:t>pecifically provides otherwise.</w:t>
      </w:r>
    </w:p>
    <w:p w14:paraId="66F091DD"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 xml:space="preserve">Interpretation </w:t>
      </w:r>
    </w:p>
    <w:p w14:paraId="66F091DE" w14:textId="77777777" w:rsidR="009873A1" w:rsidRPr="00902B0A" w:rsidRDefault="009873A1" w:rsidP="009873A1">
      <w:pPr>
        <w:rPr>
          <w:rFonts w:cs="Arial"/>
          <w:b/>
        </w:rPr>
      </w:pPr>
    </w:p>
    <w:p w14:paraId="66F091DF" w14:textId="77777777" w:rsidR="009873A1" w:rsidRPr="00902B0A" w:rsidRDefault="009873A1" w:rsidP="009873A1">
      <w:pPr>
        <w:rPr>
          <w:rFonts w:cs="Arial"/>
        </w:rPr>
      </w:pPr>
      <w:r w:rsidRPr="00902B0A">
        <w:rPr>
          <w:rFonts w:cs="Arial"/>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66F091E1" w14:textId="77777777" w:rsidR="009873A1" w:rsidRPr="00902B0A" w:rsidRDefault="009873A1" w:rsidP="009873A1">
      <w:pPr>
        <w:rPr>
          <w:rFonts w:cs="Arial"/>
        </w:rPr>
      </w:pPr>
    </w:p>
    <w:p w14:paraId="66F091E2" w14:textId="77777777" w:rsidR="009873A1" w:rsidRDefault="009873A1" w:rsidP="00C467EC">
      <w:pPr>
        <w:rPr>
          <w:rFonts w:cs="Arial"/>
        </w:rPr>
      </w:pPr>
      <w:r w:rsidRPr="00902B0A">
        <w:rPr>
          <w:rFonts w:cs="Arial"/>
        </w:rPr>
        <w:t xml:space="preserve">In the event of any conflict between these standard terms and conditions and the engagement letter or schedules of services, the relevant provision in the engagement letter or </w:t>
      </w:r>
      <w:r>
        <w:rPr>
          <w:rFonts w:cs="Arial"/>
        </w:rPr>
        <w:t>schedules will take precedence.</w:t>
      </w:r>
    </w:p>
    <w:p w14:paraId="66F091E3" w14:textId="77777777" w:rsidR="009873A1" w:rsidRPr="00955429" w:rsidRDefault="009873A1" w:rsidP="009873A1">
      <w:pPr>
        <w:pStyle w:val="NumberedText1"/>
        <w:numPr>
          <w:ilvl w:val="0"/>
          <w:numId w:val="19"/>
        </w:numPr>
        <w:rPr>
          <w:rFonts w:cs="Arial"/>
          <w:sz w:val="20"/>
          <w:szCs w:val="20"/>
        </w:rPr>
      </w:pPr>
      <w:r>
        <w:rPr>
          <w:rFonts w:cs="Arial"/>
          <w:sz w:val="20"/>
          <w:szCs w:val="20"/>
        </w:rPr>
        <w:t>I</w:t>
      </w:r>
      <w:r w:rsidRPr="00955429">
        <w:rPr>
          <w:rFonts w:cs="Arial"/>
          <w:sz w:val="20"/>
          <w:szCs w:val="20"/>
        </w:rPr>
        <w:t>nternal disputes within a client</w:t>
      </w:r>
    </w:p>
    <w:p w14:paraId="66F091E4" w14:textId="77777777" w:rsidR="009873A1" w:rsidRPr="00902B0A" w:rsidRDefault="009873A1" w:rsidP="009873A1">
      <w:pPr>
        <w:rPr>
          <w:rFonts w:cs="Arial"/>
          <w:b/>
          <w:bCs/>
        </w:rPr>
      </w:pPr>
    </w:p>
    <w:p w14:paraId="66F091E5" w14:textId="6E57CDC3" w:rsidR="009873A1" w:rsidRPr="00955429" w:rsidRDefault="009873A1" w:rsidP="009873A1">
      <w:pPr>
        <w:rPr>
          <w:rFonts w:cs="Arial"/>
          <w:bCs/>
          <w:color w:val="auto"/>
        </w:rPr>
      </w:pPr>
      <w:r w:rsidRPr="00902B0A">
        <w:rPr>
          <w:rFonts w:cs="Arial"/>
          <w:bCs/>
        </w:rPr>
        <w:t xml:space="preserve">If we become aware of a dispute between the parties who own or are in some way involved in the ownership and management of the business, it should be noted that our client is the business and we </w:t>
      </w:r>
      <w:r w:rsidRPr="00955429">
        <w:rPr>
          <w:rFonts w:cs="Arial"/>
          <w:bCs/>
          <w:color w:val="auto"/>
        </w:rPr>
        <w:t xml:space="preserve">would not provide information or services to one party without the express knowledge and permission of all parties. Unless otherwise agreed by all parties we will continue to supply information to the </w:t>
      </w:r>
      <w:r w:rsidRPr="00A15748">
        <w:rPr>
          <w:rFonts w:cs="Arial"/>
          <w:bCs/>
          <w:color w:val="auto"/>
        </w:rPr>
        <w:t xml:space="preserve">normal place of business </w:t>
      </w:r>
      <w:r w:rsidRPr="00955429">
        <w:rPr>
          <w:rFonts w:cs="Arial"/>
          <w:bCs/>
          <w:color w:val="auto"/>
        </w:rPr>
        <w:t xml:space="preserve">for the attention of the </w:t>
      </w:r>
      <w:r w:rsidRPr="00A15748">
        <w:rPr>
          <w:rFonts w:cs="Arial"/>
          <w:bCs/>
          <w:color w:val="auto"/>
        </w:rPr>
        <w:t>directors</w:t>
      </w:r>
      <w:r w:rsidRPr="00955429">
        <w:rPr>
          <w:rFonts w:cs="Arial"/>
          <w:bCs/>
          <w:color w:val="auto"/>
        </w:rPr>
        <w:t>. If conflicting advice, information or instructions are received from different directors/principals in the business we will refer the matter back to the board of directors/the partnership/ the LLP and take no further action until the board/partnership/LLP has agreed the action to be taken.</w:t>
      </w:r>
    </w:p>
    <w:p w14:paraId="66F091E6"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Investment advice (including insurance mediation services)</w:t>
      </w:r>
    </w:p>
    <w:p w14:paraId="66F091E7" w14:textId="77777777" w:rsidR="009873A1" w:rsidRPr="00955429" w:rsidRDefault="009873A1" w:rsidP="009873A1">
      <w:pPr>
        <w:rPr>
          <w:rFonts w:cs="Arial"/>
          <w:bCs/>
          <w:color w:val="auto"/>
        </w:rPr>
      </w:pPr>
    </w:p>
    <w:p w14:paraId="66F091E8" w14:textId="77777777" w:rsidR="009873A1" w:rsidRPr="00955429" w:rsidRDefault="009873A1" w:rsidP="009873A1">
      <w:pPr>
        <w:rPr>
          <w:rFonts w:cs="Arial"/>
          <w:bCs/>
          <w:color w:val="auto"/>
        </w:rPr>
      </w:pPr>
      <w:r w:rsidRPr="00955429">
        <w:rPr>
          <w:rFonts w:cs="Arial"/>
          <w:bCs/>
          <w:color w:val="auto"/>
        </w:rPr>
        <w:t>Investment business is regulated under the Financial Services and Markets Act 2000.</w:t>
      </w:r>
    </w:p>
    <w:p w14:paraId="66F091E9" w14:textId="77777777" w:rsidR="009873A1" w:rsidRPr="00955429" w:rsidRDefault="009873A1" w:rsidP="009873A1">
      <w:pPr>
        <w:rPr>
          <w:rFonts w:cs="Arial"/>
          <w:bCs/>
          <w:color w:val="auto"/>
        </w:rPr>
      </w:pPr>
    </w:p>
    <w:p w14:paraId="66F091EC" w14:textId="77777777" w:rsidR="009873A1" w:rsidRPr="009445BD" w:rsidRDefault="009873A1" w:rsidP="009873A1">
      <w:pPr>
        <w:rPr>
          <w:rFonts w:cs="Arial"/>
          <w:bCs/>
          <w:color w:val="auto"/>
        </w:rPr>
      </w:pPr>
      <w:r w:rsidRPr="009445BD">
        <w:rPr>
          <w:rFonts w:cs="Arial"/>
          <w:bCs/>
          <w:color w:val="auto"/>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66F091EF" w14:textId="77777777" w:rsidR="009873A1" w:rsidRPr="00955429" w:rsidRDefault="009873A1" w:rsidP="009873A1">
      <w:pPr>
        <w:rPr>
          <w:rFonts w:cs="Arial"/>
          <w:color w:val="auto"/>
        </w:rPr>
      </w:pPr>
    </w:p>
    <w:p w14:paraId="66F091F1"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Lien</w:t>
      </w:r>
    </w:p>
    <w:p w14:paraId="66F091F2" w14:textId="77777777" w:rsidR="009873A1" w:rsidRPr="00955429" w:rsidRDefault="009873A1" w:rsidP="009873A1">
      <w:pPr>
        <w:rPr>
          <w:rFonts w:cs="Arial"/>
          <w:bCs/>
          <w:color w:val="auto"/>
        </w:rPr>
      </w:pPr>
    </w:p>
    <w:p w14:paraId="66F091F3" w14:textId="77777777" w:rsidR="009873A1" w:rsidRPr="00955429" w:rsidRDefault="009873A1" w:rsidP="009873A1">
      <w:pPr>
        <w:rPr>
          <w:rFonts w:cs="Arial"/>
          <w:color w:val="auto"/>
        </w:rPr>
      </w:pPr>
      <w:r w:rsidRPr="00955429">
        <w:rPr>
          <w:rFonts w:cs="Arial"/>
          <w:color w:val="auto"/>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66F091F4"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lastRenderedPageBreak/>
        <w:t>Limitation of liability</w:t>
      </w:r>
    </w:p>
    <w:p w14:paraId="66F091F5" w14:textId="77777777" w:rsidR="009873A1" w:rsidRPr="00902B0A" w:rsidRDefault="009873A1" w:rsidP="009873A1">
      <w:pPr>
        <w:rPr>
          <w:rFonts w:cs="Arial"/>
        </w:rPr>
      </w:pPr>
    </w:p>
    <w:p w14:paraId="66F091F6" w14:textId="77777777" w:rsidR="009873A1" w:rsidRPr="003A540C" w:rsidRDefault="009873A1" w:rsidP="009873A1">
      <w:pPr>
        <w:rPr>
          <w:rFonts w:cs="Arial"/>
        </w:rPr>
      </w:pPr>
      <w:r w:rsidRPr="00902B0A">
        <w:rPr>
          <w:rFonts w:cs="Arial"/>
        </w:rPr>
        <w:t xml:space="preserve">We will provide our services with reasonable care and skill. Our liability to you is limited to losses, damages, costs and expenses directly caused by our </w:t>
      </w:r>
      <w:r>
        <w:rPr>
          <w:rFonts w:cs="Arial"/>
        </w:rPr>
        <w:t xml:space="preserve">negligence or wilful default. </w:t>
      </w:r>
    </w:p>
    <w:p w14:paraId="66F091F7" w14:textId="77777777" w:rsidR="009873A1" w:rsidRPr="00902B0A" w:rsidRDefault="009873A1" w:rsidP="009873A1">
      <w:pPr>
        <w:rPr>
          <w:rFonts w:cs="Arial"/>
          <w:u w:val="single"/>
        </w:rPr>
      </w:pPr>
    </w:p>
    <w:p w14:paraId="66F091F8" w14:textId="77777777" w:rsidR="009873A1" w:rsidRPr="003504BA" w:rsidRDefault="009873A1" w:rsidP="009873A1">
      <w:pPr>
        <w:rPr>
          <w:rFonts w:cs="Arial"/>
          <w:b/>
        </w:rPr>
      </w:pPr>
      <w:r w:rsidRPr="003504BA">
        <w:rPr>
          <w:rFonts w:cs="Arial"/>
          <w:b/>
        </w:rPr>
        <w:t>Exclusion of liability for loss caused by others</w:t>
      </w:r>
    </w:p>
    <w:p w14:paraId="66F091F9" w14:textId="77777777" w:rsidR="009873A1" w:rsidRPr="00902B0A" w:rsidRDefault="009873A1" w:rsidP="009873A1">
      <w:pPr>
        <w:rPr>
          <w:rFonts w:cs="Arial"/>
        </w:rPr>
      </w:pPr>
    </w:p>
    <w:p w14:paraId="66F091FA" w14:textId="77777777" w:rsidR="009873A1" w:rsidRPr="00902B0A" w:rsidRDefault="009873A1" w:rsidP="009873A1">
      <w:pPr>
        <w:rPr>
          <w:rFonts w:cs="Arial"/>
        </w:rPr>
      </w:pPr>
      <w:r w:rsidRPr="00902B0A">
        <w:rPr>
          <w:rFonts w:cs="Arial"/>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66F091FB" w14:textId="77777777" w:rsidR="009873A1" w:rsidRPr="00902B0A" w:rsidRDefault="009873A1" w:rsidP="009873A1">
      <w:pPr>
        <w:rPr>
          <w:rFonts w:cs="Arial"/>
        </w:rPr>
      </w:pPr>
    </w:p>
    <w:p w14:paraId="66F091FC" w14:textId="77777777" w:rsidR="009873A1" w:rsidRPr="003504BA" w:rsidRDefault="009873A1" w:rsidP="009873A1">
      <w:pPr>
        <w:rPr>
          <w:rFonts w:cs="Arial"/>
          <w:b/>
        </w:rPr>
      </w:pPr>
      <w:r w:rsidRPr="003504BA">
        <w:rPr>
          <w:rFonts w:cs="Arial"/>
          <w:b/>
        </w:rPr>
        <w:t>Exclusion of liability in relation to circumstances beyond our control</w:t>
      </w:r>
    </w:p>
    <w:p w14:paraId="66F091FD" w14:textId="77777777" w:rsidR="009873A1" w:rsidRPr="00902B0A" w:rsidRDefault="009873A1" w:rsidP="009873A1">
      <w:pPr>
        <w:rPr>
          <w:rFonts w:cs="Arial"/>
        </w:rPr>
      </w:pPr>
    </w:p>
    <w:p w14:paraId="66F091FF" w14:textId="54016DE2" w:rsidR="009873A1" w:rsidRDefault="009873A1" w:rsidP="009873A1">
      <w:pPr>
        <w:rPr>
          <w:rFonts w:cs="Arial"/>
          <w:b/>
          <w:color w:val="auto"/>
        </w:rPr>
      </w:pPr>
      <w:r w:rsidRPr="00902B0A">
        <w:rPr>
          <w:rFonts w:cs="Arial"/>
        </w:rPr>
        <w:t xml:space="preserve">We will not be liable to you for any delay or failure to perform our obligations under this engagement letter if the delay or failure is caused by circumstances outside our reasonable </w:t>
      </w:r>
      <w:r>
        <w:rPr>
          <w:rFonts w:cs="Arial"/>
        </w:rPr>
        <w:t>control.</w:t>
      </w:r>
    </w:p>
    <w:p w14:paraId="66F09200" w14:textId="77777777" w:rsidR="009873A1" w:rsidRDefault="009873A1" w:rsidP="009873A1">
      <w:pPr>
        <w:rPr>
          <w:rFonts w:cs="Arial"/>
          <w:b/>
          <w:color w:val="auto"/>
        </w:rPr>
      </w:pPr>
    </w:p>
    <w:p w14:paraId="66F09201" w14:textId="77777777" w:rsidR="00D15A6D" w:rsidRDefault="00D15A6D" w:rsidP="009873A1">
      <w:pPr>
        <w:rPr>
          <w:rFonts w:cs="Arial"/>
          <w:b/>
          <w:color w:val="auto"/>
        </w:rPr>
      </w:pPr>
    </w:p>
    <w:p w14:paraId="66F09202" w14:textId="77777777" w:rsidR="009873A1" w:rsidRDefault="009873A1" w:rsidP="009873A1">
      <w:pPr>
        <w:rPr>
          <w:rFonts w:cs="Arial"/>
          <w:b/>
          <w:color w:val="auto"/>
        </w:rPr>
      </w:pPr>
      <w:r w:rsidRPr="003504BA">
        <w:rPr>
          <w:rFonts w:cs="Arial"/>
          <w:b/>
          <w:color w:val="auto"/>
        </w:rPr>
        <w:t>Exclusion of liability relating to the discovery of fraud etc.</w:t>
      </w:r>
    </w:p>
    <w:p w14:paraId="66F09203" w14:textId="77777777" w:rsidR="009873A1" w:rsidRPr="003504BA" w:rsidRDefault="009873A1" w:rsidP="009873A1">
      <w:pPr>
        <w:rPr>
          <w:rFonts w:cs="Arial"/>
          <w:b/>
          <w:color w:val="auto"/>
        </w:rPr>
      </w:pPr>
    </w:p>
    <w:p w14:paraId="66F09204" w14:textId="77777777" w:rsidR="009873A1" w:rsidRPr="00955429" w:rsidRDefault="009873A1" w:rsidP="009873A1">
      <w:pPr>
        <w:rPr>
          <w:rFonts w:cs="Arial"/>
          <w:color w:val="auto"/>
        </w:rPr>
      </w:pPr>
      <w:r w:rsidRPr="00955429">
        <w:rPr>
          <w:rFonts w:cs="Arial"/>
          <w:color w:val="auto"/>
        </w:rPr>
        <w:t xml:space="preserve">We will not be responsible or liable for any loss, damage or expense incurred or sustained if information material to the service we are providing is withheld or concealed from us or misrepresented to us. This applies equally to fraudulent acts, misrepresentation or wilful default on the part of any party to the transaction and their directors, officers, employees, agents or advisers. </w:t>
      </w:r>
    </w:p>
    <w:p w14:paraId="66F09205" w14:textId="77777777" w:rsidR="009873A1" w:rsidRPr="00955429" w:rsidRDefault="009873A1" w:rsidP="009873A1">
      <w:pPr>
        <w:rPr>
          <w:rFonts w:cs="Arial"/>
          <w:color w:val="auto"/>
        </w:rPr>
      </w:pPr>
    </w:p>
    <w:p w14:paraId="66F09206" w14:textId="77777777" w:rsidR="009873A1" w:rsidRPr="00955429" w:rsidRDefault="009873A1" w:rsidP="009873A1">
      <w:pPr>
        <w:rPr>
          <w:rFonts w:cs="Arial"/>
          <w:color w:val="auto"/>
        </w:rPr>
      </w:pPr>
      <w:r w:rsidRPr="00955429">
        <w:rPr>
          <w:rFonts w:cs="Arial"/>
          <w:color w:val="auto"/>
        </w:rPr>
        <w:t>This exclusion shall not apply where such misrepresentation, withholding or concealment is or should (in carrying out the procedures which we have agreed to perform with reasonable care and skill) have been evident to us without further enquiry beyond that which it would have been reasonable for us to have carried out in the circumstances.</w:t>
      </w:r>
    </w:p>
    <w:p w14:paraId="66F09207" w14:textId="77777777" w:rsidR="009873A1" w:rsidRPr="00955429" w:rsidRDefault="009873A1" w:rsidP="009873A1">
      <w:pPr>
        <w:rPr>
          <w:rFonts w:cs="Arial"/>
          <w:color w:val="auto"/>
        </w:rPr>
      </w:pPr>
    </w:p>
    <w:p w14:paraId="66F09208" w14:textId="77777777" w:rsidR="009873A1" w:rsidRPr="003504BA" w:rsidRDefault="009873A1" w:rsidP="009873A1">
      <w:pPr>
        <w:rPr>
          <w:rFonts w:cs="Arial"/>
          <w:b/>
          <w:color w:val="auto"/>
        </w:rPr>
      </w:pPr>
      <w:r w:rsidRPr="003504BA">
        <w:rPr>
          <w:rFonts w:cs="Arial"/>
          <w:b/>
          <w:color w:val="auto"/>
        </w:rPr>
        <w:t>Indemnity for unauthorised disclosure</w:t>
      </w:r>
    </w:p>
    <w:p w14:paraId="66F09209" w14:textId="77777777" w:rsidR="009873A1" w:rsidRPr="00955429" w:rsidRDefault="009873A1" w:rsidP="009873A1">
      <w:pPr>
        <w:rPr>
          <w:rFonts w:cs="Arial"/>
          <w:color w:val="auto"/>
        </w:rPr>
      </w:pPr>
    </w:p>
    <w:p w14:paraId="66F0920A" w14:textId="77777777" w:rsidR="009873A1" w:rsidRPr="00955429" w:rsidRDefault="009873A1" w:rsidP="009873A1">
      <w:pPr>
        <w:rPr>
          <w:rFonts w:cs="Arial"/>
          <w:color w:val="auto"/>
          <w:lang w:val="en-US"/>
        </w:rPr>
      </w:pPr>
      <w:r w:rsidRPr="00955429">
        <w:rPr>
          <w:rFonts w:cs="Arial"/>
          <w:color w:val="auto"/>
          <w:lang w:val="en-US"/>
        </w:rPr>
        <w:t xml:space="preserve">You agree to indemnify us and our agents in respect of any claim (including any claim for negligence) arising out of any </w:t>
      </w:r>
      <w:r w:rsidRPr="00955429">
        <w:rPr>
          <w:rFonts w:cs="Arial"/>
          <w:color w:val="auto"/>
        </w:rPr>
        <w:t>unauthorised</w:t>
      </w:r>
      <w:r w:rsidRPr="00955429">
        <w:rPr>
          <w:rFonts w:cs="Arial"/>
          <w:color w:val="auto"/>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66F0920B" w14:textId="77777777" w:rsidR="009873A1" w:rsidRPr="00955429" w:rsidRDefault="009873A1" w:rsidP="009873A1">
      <w:pPr>
        <w:rPr>
          <w:rFonts w:cs="Arial"/>
          <w:color w:val="auto"/>
          <w:lang w:val="en-US"/>
        </w:rPr>
      </w:pPr>
    </w:p>
    <w:p w14:paraId="66F09211" w14:textId="77777777" w:rsidR="009873A1" w:rsidRPr="002178E4" w:rsidRDefault="009873A1" w:rsidP="009873A1">
      <w:pPr>
        <w:pStyle w:val="NumberedText1"/>
        <w:numPr>
          <w:ilvl w:val="0"/>
          <w:numId w:val="19"/>
        </w:numPr>
        <w:rPr>
          <w:rFonts w:cs="Arial"/>
          <w:bCs/>
          <w:sz w:val="20"/>
          <w:szCs w:val="20"/>
        </w:rPr>
      </w:pPr>
      <w:r w:rsidRPr="002178E4">
        <w:rPr>
          <w:rFonts w:cs="Arial"/>
          <w:sz w:val="20"/>
          <w:szCs w:val="20"/>
        </w:rPr>
        <w:t>Limitation of Third Party rights</w:t>
      </w:r>
    </w:p>
    <w:p w14:paraId="66F09212" w14:textId="77777777" w:rsidR="009873A1" w:rsidRPr="00955429" w:rsidRDefault="009873A1" w:rsidP="009873A1">
      <w:pPr>
        <w:rPr>
          <w:rFonts w:cs="Arial"/>
          <w:color w:val="auto"/>
        </w:rPr>
      </w:pPr>
    </w:p>
    <w:p w14:paraId="66F09213" w14:textId="77777777" w:rsidR="009873A1" w:rsidRPr="00955429" w:rsidRDefault="009873A1" w:rsidP="009873A1">
      <w:pPr>
        <w:rPr>
          <w:rFonts w:cs="Arial"/>
          <w:color w:val="auto"/>
        </w:rPr>
      </w:pPr>
      <w:r w:rsidRPr="00955429">
        <w:rPr>
          <w:rFonts w:cs="Arial"/>
          <w:color w:val="auto"/>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66F09214" w14:textId="77777777" w:rsidR="009873A1" w:rsidRPr="002178E4" w:rsidRDefault="009873A1" w:rsidP="009873A1">
      <w:pPr>
        <w:pStyle w:val="NumberedText1"/>
        <w:numPr>
          <w:ilvl w:val="0"/>
          <w:numId w:val="19"/>
        </w:numPr>
        <w:rPr>
          <w:rFonts w:cs="Arial"/>
          <w:sz w:val="20"/>
          <w:szCs w:val="20"/>
        </w:rPr>
      </w:pPr>
      <w:r w:rsidRPr="00955429">
        <w:rPr>
          <w:rFonts w:cs="Arial"/>
          <w:b w:val="0"/>
        </w:rPr>
        <w:t xml:space="preserve"> </w:t>
      </w:r>
      <w:r w:rsidRPr="002178E4">
        <w:rPr>
          <w:rFonts w:cs="Arial"/>
          <w:sz w:val="20"/>
          <w:szCs w:val="20"/>
        </w:rPr>
        <w:t>Period of engagement and termination</w:t>
      </w:r>
    </w:p>
    <w:p w14:paraId="66F09215" w14:textId="77777777" w:rsidR="009873A1" w:rsidRPr="00955429" w:rsidRDefault="009873A1" w:rsidP="009873A1">
      <w:pPr>
        <w:rPr>
          <w:rFonts w:cs="Arial"/>
          <w:color w:val="auto"/>
        </w:rPr>
      </w:pPr>
    </w:p>
    <w:p w14:paraId="66F09216" w14:textId="77777777" w:rsidR="009873A1" w:rsidRPr="00955429" w:rsidRDefault="009873A1" w:rsidP="009873A1">
      <w:pPr>
        <w:rPr>
          <w:rFonts w:cs="Arial"/>
          <w:color w:val="auto"/>
        </w:rPr>
      </w:pPr>
      <w:r w:rsidRPr="00955429">
        <w:rPr>
          <w:rFonts w:cs="Arial"/>
          <w:color w:val="auto"/>
        </w:rPr>
        <w:t>Unless otherwise agreed in the engagement letter our work will begin when we receive your implicit or explicit acceptance of that letter. Except as stated in that letter we will not be responsible for periods before that date.</w:t>
      </w:r>
    </w:p>
    <w:p w14:paraId="66F09217" w14:textId="77777777" w:rsidR="009873A1" w:rsidRPr="00955429" w:rsidRDefault="009873A1" w:rsidP="009873A1">
      <w:pPr>
        <w:rPr>
          <w:rFonts w:cs="Arial"/>
          <w:color w:val="auto"/>
        </w:rPr>
      </w:pPr>
    </w:p>
    <w:p w14:paraId="66F09218" w14:textId="77777777" w:rsidR="009873A1" w:rsidRPr="00955429" w:rsidRDefault="009873A1" w:rsidP="009873A1">
      <w:pPr>
        <w:rPr>
          <w:rFonts w:cs="Arial"/>
          <w:color w:val="auto"/>
        </w:rPr>
      </w:pPr>
      <w:r w:rsidRPr="00955429">
        <w:rPr>
          <w:rFonts w:cs="Arial"/>
          <w:color w:val="auto"/>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14:paraId="66F09219" w14:textId="77777777" w:rsidR="009873A1" w:rsidRPr="00955429" w:rsidRDefault="009873A1" w:rsidP="009873A1">
      <w:pPr>
        <w:rPr>
          <w:rFonts w:cs="Arial"/>
          <w:color w:val="auto"/>
        </w:rPr>
      </w:pPr>
    </w:p>
    <w:p w14:paraId="66F0921A" w14:textId="77777777" w:rsidR="009873A1" w:rsidRPr="00955429" w:rsidRDefault="009873A1" w:rsidP="009873A1">
      <w:pPr>
        <w:rPr>
          <w:rFonts w:cs="Arial"/>
          <w:color w:val="auto"/>
        </w:rPr>
        <w:sectPr w:rsidR="009873A1" w:rsidRPr="00955429" w:rsidSect="00471667">
          <w:headerReference w:type="default" r:id="rId9"/>
          <w:footerReference w:type="default" r:id="rId10"/>
          <w:pgSz w:w="11906" w:h="16838"/>
          <w:pgMar w:top="567" w:right="1440" w:bottom="244" w:left="1440" w:header="709" w:footer="567" w:gutter="0"/>
          <w:cols w:space="708"/>
          <w:docGrid w:linePitch="360"/>
        </w:sectPr>
      </w:pPr>
      <w:r w:rsidRPr="00955429">
        <w:rPr>
          <w:rFonts w:cs="Arial"/>
          <w:color w:val="auto"/>
        </w:rPr>
        <w:t>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w:t>
      </w:r>
      <w:r w:rsidR="00D15A6D">
        <w:rPr>
          <w:rFonts w:cs="Arial"/>
          <w:color w:val="auto"/>
        </w:rPr>
        <w:t xml:space="preserve"> from termination.</w:t>
      </w:r>
    </w:p>
    <w:p w14:paraId="66F0921B" w14:textId="77777777" w:rsidR="009873A1" w:rsidRPr="00955429" w:rsidRDefault="009873A1" w:rsidP="00D15A6D">
      <w:pPr>
        <w:pStyle w:val="NumberedText1"/>
        <w:numPr>
          <w:ilvl w:val="0"/>
          <w:numId w:val="19"/>
        </w:numPr>
        <w:rPr>
          <w:rFonts w:cs="Arial"/>
          <w:sz w:val="20"/>
          <w:szCs w:val="20"/>
        </w:rPr>
      </w:pPr>
      <w:r w:rsidRPr="00955429">
        <w:rPr>
          <w:rFonts w:cs="Arial"/>
          <w:sz w:val="20"/>
          <w:szCs w:val="20"/>
        </w:rPr>
        <w:lastRenderedPageBreak/>
        <w:t xml:space="preserve">Professional rules and statutory obligations </w:t>
      </w:r>
    </w:p>
    <w:p w14:paraId="66F0921C" w14:textId="77777777" w:rsidR="009873A1" w:rsidRPr="00955429" w:rsidRDefault="009873A1" w:rsidP="009873A1">
      <w:pPr>
        <w:rPr>
          <w:rFonts w:cs="Arial"/>
          <w:color w:val="auto"/>
        </w:rPr>
      </w:pPr>
    </w:p>
    <w:p w14:paraId="66F0921D" w14:textId="1EAAF3C6" w:rsidR="009873A1" w:rsidRPr="00955429" w:rsidRDefault="009873A1" w:rsidP="009873A1">
      <w:pPr>
        <w:rPr>
          <w:rFonts w:cs="Arial"/>
          <w:color w:val="auto"/>
        </w:rPr>
      </w:pPr>
      <w:r w:rsidRPr="00955429">
        <w:rPr>
          <w:rFonts w:cs="Arial"/>
          <w:color w:val="auto"/>
        </w:rPr>
        <w:t xml:space="preserve">We will observe and act in accordance with the bye-laws, regulations and ethical guidelines of the </w:t>
      </w:r>
      <w:r w:rsidR="00ED7041" w:rsidRPr="00ED7041">
        <w:rPr>
          <w:rFonts w:cs="Arial"/>
          <w:color w:val="auto"/>
        </w:rPr>
        <w:t>AAT</w:t>
      </w:r>
      <w:r w:rsidRPr="00D730DA">
        <w:rPr>
          <w:rFonts w:cs="Arial"/>
          <w:color w:val="00AB4E"/>
        </w:rPr>
        <w:t xml:space="preserve"> </w:t>
      </w:r>
      <w:r w:rsidRPr="00955429">
        <w:rPr>
          <w:rFonts w:cs="Arial"/>
          <w:color w:val="auto"/>
        </w:rPr>
        <w:t xml:space="preserve">and will accept instructions to act for you on this basis. In particular you give us the authority to correct errors made by HMRC where we become aware of them. We will not be liable for any loss, damage or cost arising from our compliance with statutory or regulatory obligations. You can see copies of these requirements at our offices. The requirements are also available on-line at </w:t>
      </w:r>
      <w:r w:rsidR="00ED7041" w:rsidRPr="00ED7041">
        <w:rPr>
          <w:rFonts w:cs="Arial"/>
          <w:color w:val="auto"/>
        </w:rPr>
        <w:t>www.aat.org.uk</w:t>
      </w:r>
      <w:r w:rsidRPr="00ED7041">
        <w:rPr>
          <w:rFonts w:cs="Arial"/>
          <w:color w:val="auto"/>
        </w:rPr>
        <w:t>.</w:t>
      </w:r>
    </w:p>
    <w:p w14:paraId="66F0921E"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Reliance on advice</w:t>
      </w:r>
    </w:p>
    <w:p w14:paraId="66F0921F" w14:textId="77777777" w:rsidR="009873A1" w:rsidRPr="00955429" w:rsidRDefault="009873A1" w:rsidP="009873A1">
      <w:pPr>
        <w:rPr>
          <w:rFonts w:cs="Arial"/>
          <w:color w:val="auto"/>
        </w:rPr>
      </w:pPr>
    </w:p>
    <w:p w14:paraId="66F09220" w14:textId="77777777" w:rsidR="009873A1" w:rsidRPr="00955429" w:rsidRDefault="009873A1" w:rsidP="009873A1">
      <w:pPr>
        <w:rPr>
          <w:rFonts w:cs="Arial"/>
          <w:color w:val="auto"/>
        </w:rPr>
      </w:pPr>
      <w:r w:rsidRPr="00955429">
        <w:rPr>
          <w:rFonts w:cs="Arial"/>
          <w:color w:val="auto"/>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w:t>
      </w:r>
    </w:p>
    <w:p w14:paraId="66F09221"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Retention of papers</w:t>
      </w:r>
    </w:p>
    <w:p w14:paraId="66F09222" w14:textId="77777777" w:rsidR="009873A1" w:rsidRPr="00955429" w:rsidRDefault="009873A1" w:rsidP="009873A1">
      <w:pPr>
        <w:rPr>
          <w:rFonts w:cs="Arial"/>
          <w:color w:val="auto"/>
        </w:rPr>
      </w:pPr>
    </w:p>
    <w:p w14:paraId="66F09223" w14:textId="76DBF3F9" w:rsidR="009873A1" w:rsidRPr="00955429" w:rsidRDefault="009873A1" w:rsidP="009873A1">
      <w:pPr>
        <w:rPr>
          <w:rFonts w:cs="Arial"/>
          <w:color w:val="auto"/>
        </w:rPr>
      </w:pPr>
      <w:r w:rsidRPr="00955429">
        <w:rPr>
          <w:rFonts w:cs="Arial"/>
          <w:color w:val="auto"/>
        </w:rPr>
        <w:t>You have a legal responsibility to retain documents and records relevant to your tax affairs. During the course of our work we may collect information from you and others relevant to your tax affairs. We will return any original documents to you</w:t>
      </w:r>
      <w:r w:rsidR="00E70E4D">
        <w:rPr>
          <w:rFonts w:cs="Arial"/>
          <w:color w:val="auto"/>
        </w:rPr>
        <w:t xml:space="preserve">. </w:t>
      </w:r>
      <w:r w:rsidRPr="00955429">
        <w:rPr>
          <w:rFonts w:cs="Arial"/>
          <w:color w:val="auto"/>
        </w:rPr>
        <w:t>Documents and records relevant to your tax affairs are required by law to be retained as follows:</w:t>
      </w:r>
    </w:p>
    <w:p w14:paraId="66F09224" w14:textId="77777777" w:rsidR="009873A1" w:rsidRPr="00955429" w:rsidRDefault="009873A1" w:rsidP="009873A1">
      <w:pPr>
        <w:rPr>
          <w:rFonts w:cs="Arial"/>
          <w:color w:val="auto"/>
        </w:rPr>
      </w:pPr>
    </w:p>
    <w:p w14:paraId="66F09225" w14:textId="77777777" w:rsidR="009873A1" w:rsidRPr="00955429" w:rsidRDefault="009873A1" w:rsidP="009873A1">
      <w:pPr>
        <w:ind w:firstLine="360"/>
        <w:rPr>
          <w:rFonts w:cs="Arial"/>
          <w:color w:val="auto"/>
        </w:rPr>
      </w:pPr>
      <w:r w:rsidRPr="00955429">
        <w:rPr>
          <w:rFonts w:cs="Arial"/>
          <w:color w:val="auto"/>
        </w:rPr>
        <w:t>Individuals, trustees and partnerships</w:t>
      </w:r>
    </w:p>
    <w:p w14:paraId="66F09226" w14:textId="77777777" w:rsidR="009873A1" w:rsidRPr="003504BA" w:rsidRDefault="009873A1" w:rsidP="009873A1">
      <w:pPr>
        <w:pStyle w:val="ListParagraph"/>
        <w:widowControl w:val="0"/>
        <w:numPr>
          <w:ilvl w:val="0"/>
          <w:numId w:val="16"/>
        </w:numPr>
        <w:overflowPunct w:val="0"/>
        <w:autoSpaceDE w:val="0"/>
        <w:autoSpaceDN w:val="0"/>
        <w:adjustRightInd w:val="0"/>
        <w:textAlignment w:val="baseline"/>
        <w:rPr>
          <w:rFonts w:cs="Arial"/>
          <w:bCs/>
        </w:rPr>
      </w:pPr>
      <w:r w:rsidRPr="003504BA">
        <w:rPr>
          <w:rFonts w:cs="Arial"/>
          <w:bCs/>
        </w:rPr>
        <w:t>with trading or rental income: 5 years and 10 month</w:t>
      </w:r>
      <w:r>
        <w:rPr>
          <w:rFonts w:cs="Arial"/>
          <w:bCs/>
        </w:rPr>
        <w:t>s after the end of the tax year</w:t>
      </w:r>
    </w:p>
    <w:p w14:paraId="66F09227" w14:textId="77777777" w:rsidR="009873A1" w:rsidRPr="003504BA" w:rsidRDefault="009873A1" w:rsidP="009873A1">
      <w:pPr>
        <w:pStyle w:val="ListParagraph"/>
        <w:widowControl w:val="0"/>
        <w:numPr>
          <w:ilvl w:val="0"/>
          <w:numId w:val="16"/>
        </w:numPr>
        <w:overflowPunct w:val="0"/>
        <w:autoSpaceDE w:val="0"/>
        <w:autoSpaceDN w:val="0"/>
        <w:adjustRightInd w:val="0"/>
        <w:textAlignment w:val="baseline"/>
        <w:rPr>
          <w:rFonts w:cs="Arial"/>
          <w:bCs/>
        </w:rPr>
      </w:pPr>
      <w:r w:rsidRPr="003504BA">
        <w:rPr>
          <w:rFonts w:cs="Arial"/>
          <w:bCs/>
        </w:rPr>
        <w:t>otherwise: 22 months after the end of the tax year;</w:t>
      </w:r>
    </w:p>
    <w:p w14:paraId="66F09228" w14:textId="77777777" w:rsidR="009873A1" w:rsidRPr="00955429" w:rsidRDefault="009873A1" w:rsidP="009873A1">
      <w:pPr>
        <w:rPr>
          <w:rFonts w:cs="Arial"/>
          <w:color w:val="auto"/>
        </w:rPr>
      </w:pPr>
    </w:p>
    <w:p w14:paraId="66F09229" w14:textId="77777777" w:rsidR="009873A1" w:rsidRPr="00955429" w:rsidRDefault="009873A1" w:rsidP="009873A1">
      <w:pPr>
        <w:ind w:firstLine="360"/>
        <w:rPr>
          <w:rFonts w:cs="Arial"/>
          <w:color w:val="auto"/>
        </w:rPr>
      </w:pPr>
      <w:r w:rsidRPr="00955429">
        <w:rPr>
          <w:rFonts w:cs="Arial"/>
          <w:color w:val="auto"/>
        </w:rPr>
        <w:t>Companies, LLPs and other corporate entities</w:t>
      </w:r>
    </w:p>
    <w:p w14:paraId="66F0922A" w14:textId="77777777" w:rsidR="009873A1" w:rsidRPr="003504BA" w:rsidRDefault="009873A1" w:rsidP="009873A1">
      <w:pPr>
        <w:pStyle w:val="ListParagraph"/>
        <w:widowControl w:val="0"/>
        <w:numPr>
          <w:ilvl w:val="0"/>
          <w:numId w:val="16"/>
        </w:numPr>
        <w:overflowPunct w:val="0"/>
        <w:autoSpaceDE w:val="0"/>
        <w:autoSpaceDN w:val="0"/>
        <w:adjustRightInd w:val="0"/>
        <w:textAlignment w:val="baseline"/>
        <w:rPr>
          <w:rFonts w:cs="Arial"/>
          <w:bCs/>
        </w:rPr>
      </w:pPr>
      <w:r w:rsidRPr="003504BA">
        <w:rPr>
          <w:rFonts w:cs="Arial"/>
          <w:bCs/>
        </w:rPr>
        <w:t>6 years from the end of the accounting period;</w:t>
      </w:r>
    </w:p>
    <w:p w14:paraId="66F0922B" w14:textId="77777777" w:rsidR="009873A1" w:rsidRPr="00955429" w:rsidRDefault="009873A1" w:rsidP="009873A1">
      <w:pPr>
        <w:rPr>
          <w:rFonts w:cs="Arial"/>
          <w:color w:val="auto"/>
        </w:rPr>
      </w:pPr>
    </w:p>
    <w:p w14:paraId="66F0922C" w14:textId="77777777" w:rsidR="009873A1" w:rsidRPr="00955429" w:rsidRDefault="009873A1" w:rsidP="009873A1">
      <w:pPr>
        <w:rPr>
          <w:rFonts w:cs="Arial"/>
          <w:color w:val="auto"/>
        </w:rPr>
      </w:pPr>
      <w:r w:rsidRPr="00955429">
        <w:rPr>
          <w:rFonts w:cs="Arial"/>
          <w:color w:val="auto"/>
        </w:rPr>
        <w:t xml:space="preserve">Whilst certain documents may legally belong to you we may destroy correspondence and other papers that we store, electronically or otherwise, which are more than 7 years old. You must tell us if you require the return of any specific document or their retention for a longer period. </w:t>
      </w:r>
    </w:p>
    <w:p w14:paraId="66F0922D" w14:textId="77777777" w:rsidR="009873A1" w:rsidRPr="00955429" w:rsidRDefault="009873A1" w:rsidP="009873A1">
      <w:pPr>
        <w:pStyle w:val="NumberedText1"/>
        <w:numPr>
          <w:ilvl w:val="0"/>
          <w:numId w:val="19"/>
        </w:numPr>
        <w:rPr>
          <w:rFonts w:cs="Arial"/>
          <w:sz w:val="20"/>
          <w:szCs w:val="20"/>
        </w:rPr>
      </w:pPr>
      <w:r w:rsidRPr="00955429">
        <w:rPr>
          <w:rFonts w:cs="Arial"/>
          <w:sz w:val="20"/>
          <w:szCs w:val="20"/>
        </w:rPr>
        <w:t>The Provision of Services Regulations 2009 ('Services Directive')</w:t>
      </w:r>
    </w:p>
    <w:p w14:paraId="66F0922E" w14:textId="77777777" w:rsidR="009873A1" w:rsidRPr="00955429" w:rsidRDefault="009873A1" w:rsidP="009873A1">
      <w:pPr>
        <w:rPr>
          <w:rFonts w:cs="Arial"/>
          <w:b/>
          <w:color w:val="auto"/>
        </w:rPr>
      </w:pPr>
    </w:p>
    <w:p w14:paraId="66F0922F" w14:textId="45E638A2" w:rsidR="009873A1" w:rsidRPr="00955429" w:rsidRDefault="009873A1" w:rsidP="009873A1">
      <w:pPr>
        <w:rPr>
          <w:rFonts w:cs="Arial"/>
          <w:color w:val="auto"/>
        </w:rPr>
      </w:pPr>
      <w:r w:rsidRPr="00955429">
        <w:rPr>
          <w:rFonts w:cs="Arial"/>
          <w:bCs/>
          <w:color w:val="auto"/>
        </w:rPr>
        <w:t xml:space="preserve">In accordance with our professional body rules, we are required to hold professional indemnity insurance. Details about the insurer and coverage can be found at </w:t>
      </w:r>
      <w:r w:rsidR="00E70E4D" w:rsidRPr="00E70E4D">
        <w:rPr>
          <w:rFonts w:cs="Arial"/>
          <w:bCs/>
          <w:color w:val="auto"/>
        </w:rPr>
        <w:t xml:space="preserve">www.aatpi.com//important-information.php </w:t>
      </w:r>
      <w:r w:rsidRPr="00955429">
        <w:rPr>
          <w:rFonts w:cs="Arial"/>
          <w:bCs/>
          <w:color w:val="auto"/>
        </w:rPr>
        <w:t xml:space="preserve">or at our offices. </w:t>
      </w:r>
    </w:p>
    <w:p w14:paraId="66F09234" w14:textId="77777777" w:rsidR="009873A1" w:rsidRPr="00955429" w:rsidRDefault="009873A1" w:rsidP="009873A1">
      <w:pPr>
        <w:rPr>
          <w:rFonts w:cs="Arial"/>
          <w:color w:val="auto"/>
        </w:rPr>
      </w:pPr>
    </w:p>
    <w:p w14:paraId="66F09235" w14:textId="77777777" w:rsidR="009873A1" w:rsidRPr="00955429" w:rsidRDefault="009873A1" w:rsidP="009873A1">
      <w:pPr>
        <w:rPr>
          <w:rFonts w:cs="Arial"/>
          <w:color w:val="auto"/>
        </w:rPr>
      </w:pPr>
    </w:p>
    <w:p w14:paraId="66F09236" w14:textId="77777777" w:rsidR="009873A1" w:rsidRPr="00955429" w:rsidRDefault="009873A1" w:rsidP="009873A1">
      <w:pPr>
        <w:rPr>
          <w:rFonts w:cs="Arial"/>
          <w:b/>
          <w:color w:val="auto"/>
        </w:rPr>
      </w:pPr>
    </w:p>
    <w:sectPr w:rsidR="009873A1" w:rsidRPr="009554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9239" w14:textId="77777777" w:rsidR="003A7311" w:rsidRDefault="003A7311" w:rsidP="00391BF0">
      <w:r>
        <w:separator/>
      </w:r>
    </w:p>
  </w:endnote>
  <w:endnote w:type="continuationSeparator" w:id="0">
    <w:p w14:paraId="66F0923A" w14:textId="77777777" w:rsidR="003A7311" w:rsidRDefault="003A7311" w:rsidP="0039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923D" w14:textId="0C9D0663" w:rsidR="009873A1" w:rsidRDefault="00581D17">
    <w:pPr>
      <w:pStyle w:val="Footer"/>
    </w:pPr>
    <w:r>
      <w:t>Company No:  10847828</w:t>
    </w:r>
    <w:r w:rsidR="004C5AC4">
      <w:ptab w:relativeTo="margin" w:alignment="center" w:leader="none"/>
    </w:r>
    <w:r w:rsidR="004C5AC4">
      <w:ptab w:relativeTo="margin" w:alignment="right" w:leader="none"/>
    </w:r>
    <w:r>
      <w:t>13-Feb-18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9240" w14:textId="77777777" w:rsidR="00391BF0" w:rsidRDefault="0039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1BFF" w14:textId="0A057F64" w:rsidR="00581D17" w:rsidRDefault="00581D17" w:rsidP="00581D17">
    <w:pPr>
      <w:pStyle w:val="Footer"/>
    </w:pPr>
    <w:r>
      <w:t>Company No:  10847828</w:t>
    </w:r>
    <w:r>
      <w:ptab w:relativeTo="margin" w:alignment="center" w:leader="none"/>
    </w:r>
    <w:r>
      <w:ptab w:relativeTo="margin" w:alignment="right" w:leader="none"/>
    </w:r>
    <w:r>
      <w:t>13-Feb-18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9245" w14:textId="77777777" w:rsidR="00391BF0" w:rsidRDefault="0039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09237" w14:textId="77777777" w:rsidR="003A7311" w:rsidRDefault="003A7311" w:rsidP="00391BF0">
      <w:r>
        <w:separator/>
      </w:r>
    </w:p>
  </w:footnote>
  <w:footnote w:type="continuationSeparator" w:id="0">
    <w:p w14:paraId="66F09238" w14:textId="77777777" w:rsidR="003A7311" w:rsidRDefault="003A7311" w:rsidP="0039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C30B" w14:textId="77387FB3" w:rsidR="00581D17" w:rsidRDefault="00581D17">
    <w:pPr>
      <w:pStyle w:val="Header"/>
    </w:pPr>
    <w:r>
      <w:ptab w:relativeTo="margin" w:alignment="center" w:leader="none"/>
    </w:r>
    <w:r>
      <w:ptab w:relativeTo="margin" w:alignment="right" w:leader="none"/>
    </w:r>
    <w:r>
      <w:t>Standard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923E" w14:textId="77777777" w:rsidR="00391BF0" w:rsidRDefault="00391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86AF" w14:textId="23DD0F05" w:rsidR="00581D17" w:rsidRDefault="00581D17">
    <w:pPr>
      <w:pStyle w:val="Header"/>
    </w:pPr>
    <w:r>
      <w:ptab w:relativeTo="margin" w:alignment="center" w:leader="none"/>
    </w:r>
    <w:r>
      <w:ptab w:relativeTo="margin" w:alignment="right" w:leader="none"/>
    </w:r>
    <w:r>
      <w:t>Standard Terms and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9244" w14:textId="77777777" w:rsidR="00391BF0" w:rsidRDefault="00391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F31"/>
    <w:multiLevelType w:val="hybridMultilevel"/>
    <w:tmpl w:val="003A0040"/>
    <w:lvl w:ilvl="0" w:tplc="12267B20">
      <w:start w:val="1"/>
      <w:numFmt w:val="decimal"/>
      <w:lvlText w:val="%1."/>
      <w:lvlJc w:val="left"/>
      <w:pPr>
        <w:tabs>
          <w:tab w:val="num" w:pos="357"/>
        </w:tabs>
        <w:ind w:left="357" w:hanging="357"/>
      </w:pPr>
      <w:rPr>
        <w:rFonts w:hint="default"/>
        <w:b w:val="0"/>
        <w:sz w:val="20"/>
        <w:szCs w:val="20"/>
      </w:rPr>
    </w:lvl>
    <w:lvl w:ilvl="1" w:tplc="A19A239C">
      <w:start w:val="25"/>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721C19"/>
    <w:multiLevelType w:val="hybridMultilevel"/>
    <w:tmpl w:val="8518923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7820660"/>
    <w:multiLevelType w:val="multilevel"/>
    <w:tmpl w:val="6D28185A"/>
    <w:lvl w:ilvl="0">
      <w:start w:val="1"/>
      <w:numFmt w:val="decimal"/>
      <w:lvlText w:val="%1."/>
      <w:lvlJc w:val="left"/>
      <w:pPr>
        <w:ind w:left="360" w:hanging="360"/>
      </w:pPr>
      <w:rPr>
        <w:b w:val="0"/>
        <w:color w:val="000000" w:themeColor="text1"/>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90CF4"/>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561AF"/>
    <w:multiLevelType w:val="hybridMultilevel"/>
    <w:tmpl w:val="7FC2AFDA"/>
    <w:lvl w:ilvl="0" w:tplc="EE2A6C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476C"/>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80D9C"/>
    <w:multiLevelType w:val="hybridMultilevel"/>
    <w:tmpl w:val="AE1AB4EE"/>
    <w:lvl w:ilvl="0" w:tplc="C2920F18">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BF1730"/>
    <w:multiLevelType w:val="hybridMultilevel"/>
    <w:tmpl w:val="6E54E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66E8F"/>
    <w:multiLevelType w:val="multilevel"/>
    <w:tmpl w:val="DCFC384A"/>
    <w:lvl w:ilvl="0">
      <w:start w:val="1"/>
      <w:numFmt w:val="decimal"/>
      <w:lvlText w:val="%1."/>
      <w:lvlJc w:val="left"/>
      <w:pPr>
        <w:ind w:left="360" w:hanging="360"/>
      </w:pPr>
      <w:rPr>
        <w:b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AF6CA3"/>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B507F"/>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C250E"/>
    <w:multiLevelType w:val="hybridMultilevel"/>
    <w:tmpl w:val="8518923E"/>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23379"/>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93707F"/>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169E7"/>
    <w:multiLevelType w:val="multilevel"/>
    <w:tmpl w:val="CD40A23C"/>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3E3740"/>
    <w:multiLevelType w:val="hybridMultilevel"/>
    <w:tmpl w:val="8518923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A4C0D78"/>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1C3EBA"/>
    <w:multiLevelType w:val="multilevel"/>
    <w:tmpl w:val="CD40A23C"/>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EF528F"/>
    <w:multiLevelType w:val="hybridMultilevel"/>
    <w:tmpl w:val="85189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18"/>
  </w:num>
  <w:num w:numId="6">
    <w:abstractNumId w:val="5"/>
  </w:num>
  <w:num w:numId="7">
    <w:abstractNumId w:val="11"/>
  </w:num>
  <w:num w:numId="8">
    <w:abstractNumId w:val="12"/>
  </w:num>
  <w:num w:numId="9">
    <w:abstractNumId w:val="8"/>
  </w:num>
  <w:num w:numId="10">
    <w:abstractNumId w:val="13"/>
  </w:num>
  <w:num w:numId="11">
    <w:abstractNumId w:val="16"/>
  </w:num>
  <w:num w:numId="12">
    <w:abstractNumId w:val="10"/>
  </w:num>
  <w:num w:numId="13">
    <w:abstractNumId w:val="9"/>
  </w:num>
  <w:num w:numId="14">
    <w:abstractNumId w:val="3"/>
  </w:num>
  <w:num w:numId="15">
    <w:abstractNumId w:val="14"/>
  </w:num>
  <w:num w:numId="16">
    <w:abstractNumId w:val="4"/>
  </w:num>
  <w:num w:numId="17">
    <w:abstractNumId w:val="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1A"/>
    <w:rsid w:val="00364530"/>
    <w:rsid w:val="00391BF0"/>
    <w:rsid w:val="003A7311"/>
    <w:rsid w:val="004C5AC4"/>
    <w:rsid w:val="00516C4E"/>
    <w:rsid w:val="00581D17"/>
    <w:rsid w:val="00655067"/>
    <w:rsid w:val="007A7CC9"/>
    <w:rsid w:val="0087310B"/>
    <w:rsid w:val="00882BE2"/>
    <w:rsid w:val="0093132C"/>
    <w:rsid w:val="0098376C"/>
    <w:rsid w:val="009873A1"/>
    <w:rsid w:val="00A15748"/>
    <w:rsid w:val="00B9251A"/>
    <w:rsid w:val="00C467EC"/>
    <w:rsid w:val="00D0117A"/>
    <w:rsid w:val="00D15A6D"/>
    <w:rsid w:val="00DF213C"/>
    <w:rsid w:val="00E70E4D"/>
    <w:rsid w:val="00ED7041"/>
    <w:rsid w:val="00F6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09187"/>
  <w15:docId w15:val="{C26EEE7C-7DD2-4676-81C3-F0F3D67E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3A1"/>
  </w:style>
  <w:style w:type="paragraph" w:styleId="Heading1">
    <w:name w:val="heading 1"/>
    <w:basedOn w:val="Normal"/>
    <w:next w:val="Normal"/>
    <w:link w:val="Heading1Char"/>
    <w:qFormat/>
    <w:rsid w:val="005972D8"/>
    <w:pPr>
      <w:keepNext/>
      <w:keepLines/>
      <w:spacing w:before="480"/>
      <w:outlineLvl w:val="0"/>
    </w:pPr>
    <w:rPr>
      <w:rFonts w:eastAsiaTheme="majorEastAsia" w:cstheme="majorBidi"/>
      <w:bCs/>
      <w:sz w:val="36"/>
      <w:szCs w:val="28"/>
    </w:rPr>
  </w:style>
  <w:style w:type="paragraph" w:styleId="Heading2">
    <w:name w:val="heading 2"/>
    <w:basedOn w:val="Normal"/>
    <w:next w:val="Normal"/>
    <w:link w:val="Heading2Char"/>
    <w:uiPriority w:val="9"/>
    <w:unhideWhenUsed/>
    <w:qFormat/>
    <w:rsid w:val="005972D8"/>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1373CA"/>
    <w:pPr>
      <w:keepNext/>
      <w:keepLines/>
      <w:spacing w:before="20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D8"/>
    <w:rPr>
      <w:rFonts w:eastAsiaTheme="majorEastAsia" w:cstheme="majorBidi"/>
      <w:bCs/>
      <w:color w:val="000000" w:themeColor="text1"/>
      <w:sz w:val="36"/>
      <w:szCs w:val="28"/>
    </w:rPr>
  </w:style>
  <w:style w:type="character" w:customStyle="1" w:styleId="Heading2Char">
    <w:name w:val="Heading 2 Char"/>
    <w:basedOn w:val="DefaultParagraphFont"/>
    <w:link w:val="Heading2"/>
    <w:uiPriority w:val="9"/>
    <w:rsid w:val="005972D8"/>
    <w:rPr>
      <w:rFonts w:eastAsiaTheme="majorEastAsia" w:cstheme="majorBidi"/>
      <w:b/>
      <w:bCs/>
      <w:color w:val="000000" w:themeColor="text1"/>
      <w:sz w:val="24"/>
      <w:szCs w:val="26"/>
    </w:rPr>
  </w:style>
  <w:style w:type="character" w:customStyle="1" w:styleId="Heading1GreenChar">
    <w:name w:val="Heading 1 Green Char"/>
    <w:basedOn w:val="DefaultParagraphFont"/>
    <w:link w:val="Heading1Green"/>
    <w:uiPriority w:val="9"/>
    <w:rsid w:val="003C75FD"/>
    <w:rPr>
      <w:color w:val="00AB4E"/>
      <w:sz w:val="36"/>
    </w:rPr>
  </w:style>
  <w:style w:type="paragraph" w:customStyle="1" w:styleId="Heading1Green">
    <w:name w:val="Heading 1 Green"/>
    <w:basedOn w:val="Normal"/>
    <w:next w:val="Normal"/>
    <w:link w:val="Heading1GreenChar"/>
    <w:uiPriority w:val="9"/>
    <w:qFormat/>
    <w:rsid w:val="005972D8"/>
    <w:rPr>
      <w:color w:val="00AB4E"/>
      <w:sz w:val="36"/>
    </w:rPr>
  </w:style>
  <w:style w:type="character" w:customStyle="1" w:styleId="Heading3Char">
    <w:name w:val="Heading 3 Char"/>
    <w:basedOn w:val="DefaultParagraphFont"/>
    <w:link w:val="Heading3"/>
    <w:uiPriority w:val="9"/>
    <w:rsid w:val="001373CA"/>
    <w:rPr>
      <w:rFonts w:eastAsiaTheme="majorEastAsia" w:cstheme="majorBidi"/>
      <w:bCs/>
    </w:rPr>
  </w:style>
  <w:style w:type="paragraph" w:styleId="Title">
    <w:name w:val="Title"/>
    <w:aliases w:val="Cover Page Title"/>
    <w:basedOn w:val="Normal"/>
    <w:next w:val="Normal"/>
    <w:link w:val="TitleChar"/>
    <w:uiPriority w:val="8"/>
    <w:qFormat/>
    <w:rsid w:val="005972D8"/>
    <w:rPr>
      <w:rFonts w:eastAsiaTheme="majorEastAsia" w:cstheme="majorBidi"/>
      <w:spacing w:val="5"/>
      <w:kern w:val="28"/>
      <w:sz w:val="80"/>
      <w:szCs w:val="52"/>
    </w:rPr>
  </w:style>
  <w:style w:type="character" w:customStyle="1" w:styleId="TitleChar">
    <w:name w:val="Title Char"/>
    <w:aliases w:val="Cover Page Title Char"/>
    <w:basedOn w:val="DefaultParagraphFont"/>
    <w:link w:val="Title"/>
    <w:uiPriority w:val="8"/>
    <w:rsid w:val="003C75FD"/>
    <w:rPr>
      <w:rFonts w:eastAsiaTheme="majorEastAsia" w:cstheme="majorBidi"/>
      <w:spacing w:val="5"/>
      <w:kern w:val="28"/>
      <w:sz w:val="80"/>
      <w:szCs w:val="52"/>
    </w:rPr>
  </w:style>
  <w:style w:type="paragraph" w:customStyle="1" w:styleId="Footnotes">
    <w:name w:val="Footnotes"/>
    <w:basedOn w:val="Normal"/>
    <w:next w:val="Normal"/>
    <w:link w:val="FootnotesChar"/>
    <w:uiPriority w:val="10"/>
    <w:qFormat/>
    <w:rsid w:val="005972D8"/>
    <w:rPr>
      <w:sz w:val="16"/>
    </w:rPr>
  </w:style>
  <w:style w:type="character" w:customStyle="1" w:styleId="FootnotesChar">
    <w:name w:val="Footnotes Char"/>
    <w:basedOn w:val="DefaultParagraphFont"/>
    <w:link w:val="Footnotes"/>
    <w:uiPriority w:val="10"/>
    <w:rsid w:val="003C75FD"/>
    <w:rPr>
      <w:sz w:val="16"/>
    </w:rPr>
  </w:style>
  <w:style w:type="paragraph" w:customStyle="1" w:styleId="HyperlinksEmailAddresses">
    <w:name w:val="Hyperlinks/Email Addresses"/>
    <w:basedOn w:val="Normal"/>
    <w:next w:val="Normal"/>
    <w:link w:val="HyperlinksEmailAddressesChar"/>
    <w:uiPriority w:val="1"/>
    <w:qFormat/>
    <w:rsid w:val="005972D8"/>
    <w:rPr>
      <w:b/>
      <w:color w:val="00AB4E"/>
    </w:rPr>
  </w:style>
  <w:style w:type="character" w:customStyle="1" w:styleId="HyperlinksEmailAddressesChar">
    <w:name w:val="Hyperlinks/Email Addresses Char"/>
    <w:basedOn w:val="DefaultParagraphFont"/>
    <w:link w:val="HyperlinksEmailAddresses"/>
    <w:uiPriority w:val="1"/>
    <w:rsid w:val="003C75FD"/>
    <w:rPr>
      <w:b/>
      <w:color w:val="00AB4E"/>
    </w:rPr>
  </w:style>
  <w:style w:type="paragraph" w:styleId="ListParagraph">
    <w:name w:val="List Paragraph"/>
    <w:basedOn w:val="Normal"/>
    <w:link w:val="ListParagraphChar"/>
    <w:uiPriority w:val="34"/>
    <w:qFormat/>
    <w:rsid w:val="00D60C71"/>
    <w:pPr>
      <w:ind w:left="720"/>
      <w:contextualSpacing/>
    </w:pPr>
  </w:style>
  <w:style w:type="numbering" w:customStyle="1" w:styleId="AATListStyle">
    <w:name w:val="AAT List Style"/>
    <w:uiPriority w:val="99"/>
    <w:rsid w:val="003A6DCC"/>
  </w:style>
  <w:style w:type="table" w:styleId="TableGrid">
    <w:name w:val="Table Grid"/>
    <w:basedOn w:val="TableNormal"/>
    <w:uiPriority w:val="59"/>
    <w:rsid w:val="00AD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FBFBF" w:themeFill="background1" w:themeFillShade="BF"/>
      </w:tcPr>
    </w:tblStylePr>
  </w:style>
  <w:style w:type="table" w:customStyle="1" w:styleId="AATTableStyle">
    <w:name w:val="AAT Table Style"/>
    <w:basedOn w:val="TableNormal"/>
    <w:uiPriority w:val="99"/>
    <w:rsid w:val="00AD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Pr/>
      <w:tcPr>
        <w:shd w:val="clear" w:color="auto" w:fill="BFBFBF" w:themeFill="background1" w:themeFillShade="BF"/>
      </w:tcPr>
    </w:tblStylePr>
  </w:style>
  <w:style w:type="paragraph" w:customStyle="1" w:styleId="NumberedText1">
    <w:name w:val="Numbered Text 1"/>
    <w:basedOn w:val="Normal"/>
    <w:rsid w:val="00B9251A"/>
    <w:pPr>
      <w:spacing w:before="240" w:line="240" w:lineRule="atLeast"/>
    </w:pPr>
    <w:rPr>
      <w:rFonts w:eastAsia="Times New Roman" w:cs="Times New Roman"/>
      <w:b/>
      <w:color w:val="auto"/>
      <w:sz w:val="24"/>
      <w:szCs w:val="24"/>
    </w:rPr>
  </w:style>
  <w:style w:type="character" w:customStyle="1" w:styleId="ListParagraphChar">
    <w:name w:val="List Paragraph Char"/>
    <w:basedOn w:val="DefaultParagraphFont"/>
    <w:link w:val="ListParagraph"/>
    <w:uiPriority w:val="34"/>
    <w:rsid w:val="00B9251A"/>
  </w:style>
  <w:style w:type="paragraph" w:styleId="Header">
    <w:name w:val="header"/>
    <w:basedOn w:val="Normal"/>
    <w:link w:val="HeaderChar"/>
    <w:uiPriority w:val="99"/>
    <w:unhideWhenUsed/>
    <w:rsid w:val="00391BF0"/>
    <w:pPr>
      <w:tabs>
        <w:tab w:val="center" w:pos="4513"/>
        <w:tab w:val="right" w:pos="9026"/>
      </w:tabs>
    </w:pPr>
  </w:style>
  <w:style w:type="character" w:customStyle="1" w:styleId="HeaderChar">
    <w:name w:val="Header Char"/>
    <w:basedOn w:val="DefaultParagraphFont"/>
    <w:link w:val="Header"/>
    <w:uiPriority w:val="99"/>
    <w:rsid w:val="00391BF0"/>
  </w:style>
  <w:style w:type="paragraph" w:styleId="Footer">
    <w:name w:val="footer"/>
    <w:basedOn w:val="Normal"/>
    <w:link w:val="FooterChar"/>
    <w:uiPriority w:val="99"/>
    <w:unhideWhenUsed/>
    <w:rsid w:val="00391BF0"/>
    <w:pPr>
      <w:tabs>
        <w:tab w:val="center" w:pos="4513"/>
        <w:tab w:val="right" w:pos="9026"/>
      </w:tabs>
    </w:pPr>
  </w:style>
  <w:style w:type="character" w:customStyle="1" w:styleId="FooterChar">
    <w:name w:val="Footer Char"/>
    <w:basedOn w:val="DefaultParagraphFont"/>
    <w:link w:val="Footer"/>
    <w:uiPriority w:val="99"/>
    <w:rsid w:val="00391BF0"/>
  </w:style>
  <w:style w:type="paragraph" w:styleId="BalloonText">
    <w:name w:val="Balloon Text"/>
    <w:basedOn w:val="Normal"/>
    <w:link w:val="BalloonTextChar"/>
    <w:unhideWhenUsed/>
    <w:rsid w:val="00391BF0"/>
    <w:rPr>
      <w:rFonts w:ascii="Tahoma" w:hAnsi="Tahoma" w:cs="Tahoma"/>
      <w:sz w:val="16"/>
      <w:szCs w:val="16"/>
    </w:rPr>
  </w:style>
  <w:style w:type="character" w:customStyle="1" w:styleId="BalloonTextChar">
    <w:name w:val="Balloon Text Char"/>
    <w:basedOn w:val="DefaultParagraphFont"/>
    <w:link w:val="BalloonText"/>
    <w:rsid w:val="00391BF0"/>
    <w:rPr>
      <w:rFonts w:ascii="Tahoma" w:hAnsi="Tahoma" w:cs="Tahoma"/>
      <w:sz w:val="16"/>
      <w:szCs w:val="16"/>
    </w:rPr>
  </w:style>
  <w:style w:type="paragraph" w:customStyle="1" w:styleId="Heading3numbered">
    <w:name w:val="* Heading 3 numbered"/>
    <w:basedOn w:val="Normal"/>
    <w:qFormat/>
    <w:rsid w:val="0098376C"/>
    <w:pPr>
      <w:keepNext/>
      <w:keepLines/>
      <w:spacing w:before="200" w:after="240" w:line="264" w:lineRule="auto"/>
      <w:outlineLvl w:val="1"/>
    </w:pPr>
    <w:rPr>
      <w:rFonts w:eastAsiaTheme="majorEastAsia" w:cstheme="majorBidi"/>
      <w:b/>
      <w:bCs/>
    </w:rPr>
  </w:style>
  <w:style w:type="character" w:styleId="Strong">
    <w:name w:val="Strong"/>
    <w:basedOn w:val="DefaultParagraphFont"/>
    <w:uiPriority w:val="22"/>
    <w:qFormat/>
    <w:rsid w:val="00581D17"/>
    <w:rPr>
      <w:b/>
      <w:bCs/>
    </w:rPr>
  </w:style>
  <w:style w:type="character" w:styleId="Hyperlink">
    <w:name w:val="Hyperlink"/>
    <w:basedOn w:val="DefaultParagraphFont"/>
    <w:uiPriority w:val="99"/>
    <w:unhideWhenUsed/>
    <w:rsid w:val="00E70E4D"/>
    <w:rPr>
      <w:color w:val="0000FF" w:themeColor="hyperlink"/>
      <w:u w:val="single"/>
    </w:rPr>
  </w:style>
  <w:style w:type="character" w:styleId="UnresolvedMention">
    <w:name w:val="Unresolved Mention"/>
    <w:basedOn w:val="DefaultParagraphFont"/>
    <w:uiPriority w:val="99"/>
    <w:semiHidden/>
    <w:unhideWhenUsed/>
    <w:rsid w:val="00E70E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AA4E-BD1B-4651-BA02-F44EF91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AAT</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Kowalczyk</dc:creator>
  <cp:lastModifiedBy>Pippa Bilsland</cp:lastModifiedBy>
  <cp:revision>6</cp:revision>
  <cp:lastPrinted>2018-02-13T16:08:00Z</cp:lastPrinted>
  <dcterms:created xsi:type="dcterms:W3CDTF">2018-01-15T11:47:00Z</dcterms:created>
  <dcterms:modified xsi:type="dcterms:W3CDTF">2018-02-13T16:08:00Z</dcterms:modified>
</cp:coreProperties>
</file>